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三河市文化广电和旅游局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文化广电和旅游局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（一）贯彻国家和省、市关于文化广电、旅游工作的方针、政策和法规，研究拟订我市文化广电、旅游工作方针、政策，并监督实施。</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（二）拟订全市文化广电、旅游事业发展规划并组织实施，推进文化广电、旅游领域的体制机制改革。</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（三）指导、管理全市文化广电、旅游事业，指导艺术创作与生产，推动各门类艺术的发展，管理全市性重大文化广电、旅游活动。</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（四）负责推动全市文化艺术领域的公共文化服务，规划、引导公共文化产品创新生产，指导市重点文化设施建设和基层文化设施建设。</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（五）指导、管理全市社会文化事业，指导图书馆、博物馆、文化馆（站）事业，繁荣群众文化生活。</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（六）拟订全市非物质文化遗产保护规划及规定，组织实施非物质文化遗产保护和优秀民族文化的传承普及工作。</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（七）拟订全市文化市场发展规划，并组织实施。</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（八）拟订全市文化艺术、广播电视、旅游产业发展规划，指导、协调文化艺术、广播电视、旅游产业发展，推进对外文化产业交流与合作。</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（九）拟定全市文物和博物馆事业发展规划；负责组织全市文物资源的调查、勘探、发掘、保护、开发和利用；组织指导文物保护宣传工作；拟订文物保护制度和办法并负责督促检查。</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（十）拟定全市文化广电、旅游科技发展规划并监督实施，推进文化广电、旅游科技信息建设。</w:t>
      </w:r>
    </w:p>
    <w:p>
      <w:pPr>
        <w:spacing w:line="600" w:lineRule="exact"/>
        <w:ind w:firstLine="480" w:firstLineChars="150"/>
        <w:rPr>
          <w:rFonts w:hint="eastAsia" w:ascii="仿宋" w:hAnsi="仿宋" w:eastAsia="仿宋"/>
          <w:sz w:val="32"/>
          <w:szCs w:val="32"/>
        </w:rPr>
      </w:pPr>
      <w:r>
        <w:rPr>
          <w:rFonts w:hint="eastAsia" w:ascii="仿宋_GB2312" w:hAnsi="宋体" w:eastAsia="仿宋_GB2312"/>
          <w:sz w:val="32"/>
          <w:szCs w:val="32"/>
        </w:rPr>
        <w:t>（十一）</w:t>
      </w:r>
      <w:r>
        <w:rPr>
          <w:rFonts w:hint="eastAsia" w:ascii="仿宋" w:hAnsi="仿宋" w:eastAsia="仿宋"/>
          <w:sz w:val="32"/>
          <w:szCs w:val="32"/>
        </w:rPr>
        <w:t>指导协调广播电视全市性重大宣传活动。负责对全市广播电视机构进行业务指导和行业监管，监管全市广播电视节目、网络视听节目和公共视听载体播放的视听节目，会同有关部门对全市网络视听节目服务机构进行管理，指导、监管全市广播电视广告播放。</w:t>
      </w:r>
    </w:p>
    <w:p>
      <w:pPr>
        <w:ind w:firstLine="480" w:firstLineChars="150"/>
        <w:rPr>
          <w:rFonts w:hint="eastAsia" w:ascii="仿宋" w:hAnsi="仿宋" w:eastAsia="仿宋"/>
          <w:sz w:val="32"/>
          <w:szCs w:val="32"/>
        </w:rPr>
      </w:pPr>
      <w:r>
        <w:rPr>
          <w:rFonts w:hint="eastAsia" w:ascii="仿宋_GB2312" w:hAnsi="宋体" w:eastAsia="仿宋_GB2312"/>
          <w:sz w:val="32"/>
          <w:szCs w:val="32"/>
        </w:rPr>
        <w:t>（十二）</w:t>
      </w:r>
      <w:r>
        <w:rPr>
          <w:rFonts w:hint="eastAsia" w:ascii="仿宋" w:hAnsi="仿宋" w:eastAsia="仿宋"/>
          <w:sz w:val="32"/>
          <w:szCs w:val="32"/>
        </w:rPr>
        <w:t>指导和监管全市广播电视重点基础设施建设。指导、推进全市广播电视领域体制机制改革。组织实施全市广播电视公共服务重大公益工程和公益活动，负责推进广播电视与新媒体新技术新业态融合发展，推进广电网与电信网、互联网三网融合，促进智慧广电发展。</w:t>
      </w:r>
    </w:p>
    <w:p>
      <w:pPr>
        <w:ind w:firstLine="480" w:firstLineChars="150"/>
        <w:rPr>
          <w:rFonts w:hint="eastAsia" w:ascii="仿宋" w:hAnsi="仿宋" w:eastAsia="仿宋"/>
          <w:sz w:val="32"/>
          <w:szCs w:val="32"/>
        </w:rPr>
      </w:pPr>
      <w:r>
        <w:rPr>
          <w:rFonts w:hint="eastAsia" w:ascii="仿宋" w:hAnsi="仿宋" w:eastAsia="仿宋"/>
          <w:sz w:val="32"/>
          <w:szCs w:val="32"/>
        </w:rPr>
        <w:t>（十三）负责对全市广播电视节目传输覆盖、监听、监看、监测的监管，推进全市应急广播体系建设，监管协调调度全市广播电视安全播出。负责全市广播电视统计工作。</w:t>
      </w:r>
    </w:p>
    <w:p>
      <w:pPr>
        <w:spacing w:line="600" w:lineRule="exact"/>
        <w:ind w:firstLine="480" w:firstLineChars="150"/>
        <w:rPr>
          <w:rFonts w:hint="eastAsia" w:ascii="仿宋" w:hAnsi="仿宋" w:eastAsia="仿宋"/>
          <w:sz w:val="32"/>
          <w:szCs w:val="32"/>
        </w:rPr>
      </w:pPr>
      <w:r>
        <w:rPr>
          <w:rFonts w:hint="eastAsia" w:ascii="仿宋" w:hAnsi="仿宋" w:eastAsia="仿宋"/>
          <w:sz w:val="32"/>
          <w:szCs w:val="32"/>
        </w:rPr>
        <w:t>（十四）指导全市文化市场综合执法。组织查处全市性、跨区域文化、文物、广播电视、旅游等市场的违法行为，督查督办大案要案，维护市场秩序。</w:t>
      </w:r>
    </w:p>
    <w:p>
      <w:pPr>
        <w:ind w:firstLine="640" w:firstLineChars="200"/>
        <w:rPr>
          <w:rFonts w:hint="eastAsia" w:ascii="仿宋" w:hAnsi="仿宋" w:eastAsia="仿宋"/>
          <w:sz w:val="32"/>
          <w:szCs w:val="32"/>
        </w:rPr>
      </w:pPr>
      <w:r>
        <w:rPr>
          <w:rFonts w:hint="eastAsia" w:ascii="仿宋_GB2312" w:eastAsia="仿宋_GB2312"/>
          <w:kern w:val="0"/>
          <w:sz w:val="32"/>
          <w:szCs w:val="32"/>
        </w:rPr>
        <w:t>(十五)</w:t>
      </w:r>
      <w:r>
        <w:rPr>
          <w:rFonts w:hint="eastAsia" w:ascii="仿宋" w:hAnsi="仿宋" w:eastAsia="仿宋"/>
          <w:sz w:val="32"/>
          <w:szCs w:val="32"/>
        </w:rPr>
        <w:t>指导、管理全市文化、旅游、广播电视、文物领域对外交流、合作和宣传、推广工作。组织大型文化和旅游对外及对港澳台交流活动，推动中华文化和三河特色文化走出去。</w:t>
      </w:r>
    </w:p>
    <w:p>
      <w:pPr>
        <w:ind w:firstLine="480" w:firstLineChars="150"/>
        <w:rPr>
          <w:rFonts w:hint="eastAsia" w:ascii="仿宋" w:hAnsi="仿宋" w:eastAsia="仿宋"/>
          <w:sz w:val="32"/>
          <w:szCs w:val="32"/>
        </w:rPr>
      </w:pPr>
      <w:r>
        <w:rPr>
          <w:rFonts w:hint="eastAsia" w:ascii="仿宋" w:hAnsi="仿宋" w:eastAsia="仿宋"/>
          <w:sz w:val="32"/>
          <w:szCs w:val="32"/>
        </w:rPr>
        <w:t>（十六）负责本系统和本部门职责范围内安全生产工作。</w:t>
      </w:r>
    </w:p>
    <w:p>
      <w:pPr>
        <w:ind w:firstLine="480" w:firstLineChars="150"/>
        <w:rPr>
          <w:rFonts w:hint="eastAsia" w:ascii="仿宋_GB2312" w:eastAsia="仿宋_GB2312"/>
          <w:kern w:val="0"/>
          <w:sz w:val="32"/>
          <w:szCs w:val="32"/>
        </w:rPr>
      </w:pPr>
      <w:r>
        <w:rPr>
          <w:rFonts w:hint="eastAsia" w:ascii="仿宋" w:hAnsi="仿宋" w:eastAsia="仿宋"/>
          <w:sz w:val="32"/>
          <w:szCs w:val="32"/>
        </w:rPr>
        <w:t>（十七）</w:t>
      </w:r>
      <w:r>
        <w:rPr>
          <w:rFonts w:hint="eastAsia" w:ascii="仿宋_GB2312" w:eastAsia="仿宋_GB2312"/>
          <w:kern w:val="0"/>
          <w:sz w:val="32"/>
          <w:szCs w:val="32"/>
        </w:rPr>
        <w:t>完成市委、市政府交办的其他</w:t>
      </w:r>
      <w:r>
        <w:rPr>
          <w:rFonts w:hint="eastAsia" w:ascii="仿宋_GB2312" w:eastAsia="仿宋_GB2312"/>
          <w:kern w:val="0"/>
          <w:sz w:val="32"/>
          <w:szCs w:val="32"/>
          <w:lang w:eastAsia="zh-CN"/>
        </w:rPr>
        <w:t>任务</w:t>
      </w:r>
      <w:r>
        <w:rPr>
          <w:rFonts w:hint="eastAsia" w:ascii="仿宋_GB2312" w:eastAsia="仿宋_GB2312"/>
          <w:kern w:val="0"/>
          <w:sz w:val="32"/>
          <w:szCs w:val="32"/>
        </w:rPr>
        <w:t>。</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30"/>
        <w:gridCol w:w="1973"/>
        <w:gridCol w:w="1190"/>
        <w:gridCol w:w="27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0" w:hRule="atLeast"/>
          <w:tblHeader/>
          <w:jc w:val="center"/>
        </w:trPr>
        <w:tc>
          <w:tcPr>
            <w:tcW w:w="3230" w:type="dxa"/>
            <w:vMerge w:val="restart"/>
            <w:noWrap w:val="0"/>
            <w:vAlign w:val="center"/>
          </w:tcPr>
          <w:p>
            <w:pPr>
              <w:spacing w:line="520" w:lineRule="exact"/>
              <w:jc w:val="center"/>
              <w:rPr>
                <w:rFonts w:eastAsia="方正书宋_GBK"/>
                <w:b/>
                <w:color w:val="auto"/>
              </w:rPr>
            </w:pPr>
            <w:r>
              <w:rPr>
                <w:rFonts w:eastAsia="方正书宋_GBK"/>
                <w:b/>
                <w:color w:val="auto"/>
              </w:rPr>
              <w:t>单位名称</w:t>
            </w:r>
          </w:p>
        </w:tc>
        <w:tc>
          <w:tcPr>
            <w:tcW w:w="1973" w:type="dxa"/>
            <w:vMerge w:val="restart"/>
            <w:noWrap w:val="0"/>
            <w:vAlign w:val="center"/>
          </w:tcPr>
          <w:p>
            <w:pPr>
              <w:spacing w:line="520" w:lineRule="exact"/>
              <w:jc w:val="center"/>
              <w:rPr>
                <w:rFonts w:eastAsia="方正书宋_GBK"/>
                <w:b/>
                <w:color w:val="auto"/>
              </w:rPr>
            </w:pPr>
            <w:r>
              <w:rPr>
                <w:rFonts w:eastAsia="方正书宋_GBK"/>
                <w:b/>
                <w:color w:val="auto"/>
              </w:rPr>
              <w:t>单位性质</w:t>
            </w:r>
          </w:p>
        </w:tc>
        <w:tc>
          <w:tcPr>
            <w:tcW w:w="1190" w:type="dxa"/>
            <w:vMerge w:val="restart"/>
            <w:noWrap w:val="0"/>
            <w:vAlign w:val="center"/>
          </w:tcPr>
          <w:p>
            <w:pPr>
              <w:spacing w:line="520" w:lineRule="exact"/>
              <w:jc w:val="center"/>
              <w:rPr>
                <w:rFonts w:eastAsia="方正书宋_GBK"/>
                <w:b/>
                <w:color w:val="auto"/>
              </w:rPr>
            </w:pPr>
            <w:r>
              <w:rPr>
                <w:rFonts w:eastAsia="方正书宋_GBK"/>
                <w:b/>
                <w:color w:val="auto"/>
              </w:rPr>
              <w:t>单位规格</w:t>
            </w:r>
          </w:p>
        </w:tc>
        <w:tc>
          <w:tcPr>
            <w:tcW w:w="2707" w:type="dxa"/>
            <w:vMerge w:val="restart"/>
            <w:noWrap w:val="0"/>
            <w:vAlign w:val="center"/>
          </w:tcPr>
          <w:p>
            <w:pPr>
              <w:spacing w:line="520" w:lineRule="exact"/>
              <w:jc w:val="center"/>
              <w:rPr>
                <w:rFonts w:eastAsia="方正书宋_GBK"/>
                <w:b/>
                <w:color w:val="auto"/>
              </w:rPr>
            </w:pPr>
            <w:r>
              <w:rPr>
                <w:rFonts w:eastAsia="方正书宋_GBK"/>
                <w:b/>
                <w:color w:val="auto"/>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230" w:type="dxa"/>
            <w:vMerge w:val="continue"/>
            <w:noWrap w:val="0"/>
            <w:vAlign w:val="center"/>
          </w:tcPr>
          <w:p>
            <w:pPr>
              <w:spacing w:line="520" w:lineRule="exact"/>
              <w:jc w:val="left"/>
              <w:outlineLvl w:val="0"/>
              <w:rPr>
                <w:color w:val="auto"/>
              </w:rPr>
            </w:pPr>
          </w:p>
        </w:tc>
        <w:tc>
          <w:tcPr>
            <w:tcW w:w="1973" w:type="dxa"/>
            <w:vMerge w:val="continue"/>
            <w:noWrap w:val="0"/>
            <w:vAlign w:val="center"/>
          </w:tcPr>
          <w:p>
            <w:pPr>
              <w:spacing w:line="520" w:lineRule="exact"/>
              <w:jc w:val="left"/>
              <w:outlineLvl w:val="0"/>
              <w:rPr>
                <w:color w:val="auto"/>
              </w:rPr>
            </w:pPr>
          </w:p>
        </w:tc>
        <w:tc>
          <w:tcPr>
            <w:tcW w:w="1190" w:type="dxa"/>
            <w:vMerge w:val="continue"/>
            <w:noWrap w:val="0"/>
            <w:vAlign w:val="center"/>
          </w:tcPr>
          <w:p>
            <w:pPr>
              <w:spacing w:line="520" w:lineRule="exact"/>
              <w:jc w:val="left"/>
              <w:outlineLvl w:val="0"/>
              <w:rPr>
                <w:color w:val="auto"/>
              </w:rPr>
            </w:pPr>
          </w:p>
        </w:tc>
        <w:tc>
          <w:tcPr>
            <w:tcW w:w="2707" w:type="dxa"/>
            <w:vMerge w:val="continue"/>
            <w:noWrap w:val="0"/>
            <w:vAlign w:val="center"/>
          </w:tcPr>
          <w:p>
            <w:pPr>
              <w:spacing w:line="520" w:lineRule="exact"/>
              <w:jc w:val="left"/>
              <w:outlineLvl w:val="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3230" w:type="dxa"/>
            <w:noWrap w:val="0"/>
            <w:vAlign w:val="center"/>
          </w:tcPr>
          <w:p>
            <w:pPr>
              <w:spacing w:line="520" w:lineRule="exact"/>
              <w:jc w:val="left"/>
              <w:rPr>
                <w:rFonts w:hint="eastAsia" w:ascii="宋体" w:hAnsi="宋体" w:eastAsia="宋体" w:cs="宋体"/>
                <w:color w:val="auto"/>
              </w:rPr>
            </w:pPr>
            <w:r>
              <w:rPr>
                <w:rFonts w:hint="eastAsia" w:ascii="宋体" w:hAnsi="宋体" w:eastAsia="宋体" w:cs="宋体"/>
                <w:color w:val="auto"/>
                <w:lang w:eastAsia="zh-CN"/>
              </w:rPr>
              <w:t>三河市文化广电和旅游</w:t>
            </w:r>
            <w:r>
              <w:rPr>
                <w:rFonts w:hint="eastAsia" w:ascii="宋体" w:hAnsi="宋体" w:eastAsia="宋体" w:cs="宋体"/>
                <w:color w:val="auto"/>
              </w:rPr>
              <w:t>局(机关)</w:t>
            </w:r>
          </w:p>
        </w:tc>
        <w:tc>
          <w:tcPr>
            <w:tcW w:w="1973" w:type="dxa"/>
            <w:noWrap w:val="0"/>
            <w:vAlign w:val="center"/>
          </w:tcPr>
          <w:p>
            <w:pPr>
              <w:spacing w:line="520" w:lineRule="exact"/>
              <w:jc w:val="center"/>
              <w:rPr>
                <w:rFonts w:hint="eastAsia" w:ascii="宋体" w:hAnsi="宋体" w:eastAsia="宋体" w:cs="宋体"/>
                <w:color w:val="auto"/>
              </w:rPr>
            </w:pPr>
            <w:r>
              <w:rPr>
                <w:rFonts w:hint="eastAsia" w:ascii="宋体" w:hAnsi="宋体" w:eastAsia="宋体" w:cs="宋体"/>
                <w:color w:val="auto"/>
              </w:rPr>
              <w:t>行政</w:t>
            </w:r>
          </w:p>
        </w:tc>
        <w:tc>
          <w:tcPr>
            <w:tcW w:w="1190" w:type="dxa"/>
            <w:noWrap w:val="0"/>
            <w:vAlign w:val="center"/>
          </w:tcPr>
          <w:p>
            <w:pPr>
              <w:spacing w:line="520" w:lineRule="exact"/>
              <w:jc w:val="center"/>
              <w:rPr>
                <w:rFonts w:hint="eastAsia" w:ascii="宋体" w:hAnsi="宋体" w:eastAsia="宋体" w:cs="宋体"/>
                <w:color w:val="auto"/>
              </w:rPr>
            </w:pPr>
            <w:r>
              <w:rPr>
                <w:rFonts w:hint="eastAsia" w:ascii="宋体" w:hAnsi="宋体" w:eastAsia="宋体" w:cs="宋体"/>
                <w:color w:val="auto"/>
              </w:rPr>
              <w:t>正科级</w:t>
            </w:r>
          </w:p>
        </w:tc>
        <w:tc>
          <w:tcPr>
            <w:tcW w:w="2707" w:type="dxa"/>
            <w:noWrap w:val="0"/>
            <w:vAlign w:val="center"/>
          </w:tcPr>
          <w:p>
            <w:pPr>
              <w:spacing w:line="520" w:lineRule="exact"/>
              <w:jc w:val="center"/>
              <w:rPr>
                <w:rFonts w:hint="eastAsia" w:ascii="宋体" w:hAnsi="宋体" w:eastAsia="宋体" w:cs="宋体"/>
                <w:color w:val="auto"/>
              </w:rPr>
            </w:pPr>
            <w:r>
              <w:rPr>
                <w:rFonts w:hint="eastAsia" w:ascii="宋体" w:hAnsi="宋体" w:eastAsia="宋体" w:cs="宋体"/>
                <w:color w:val="auto"/>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三河市文化广电和旅游局机关</w:t>
      </w:r>
      <w:r>
        <w:rPr>
          <w:rFonts w:ascii="Times New Roman" w:hAnsi="Times New Roman" w:eastAsia="仿宋_GB2312" w:cs="Times New Roman"/>
          <w:sz w:val="32"/>
          <w:szCs w:val="32"/>
        </w:rPr>
        <w:t>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4813.90</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4744.23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69.67</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文化广电和旅游局</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4813.90</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1458.61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1350.47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108.14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3355.29</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3355.29万元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文化和旅游支出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文物支出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新闻出版电影支出</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4813.90万元</w:t>
      </w:r>
      <w:r>
        <w:rPr>
          <w:rFonts w:ascii="Times New Roman" w:hAnsi="Times New Roman" w:eastAsia="仿宋_GB2312" w:cs="Times New Roman"/>
          <w:sz w:val="32"/>
          <w:szCs w:val="32"/>
        </w:rPr>
        <w:t>，较20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1年预算减少</w:t>
      </w:r>
      <w:r>
        <w:rPr>
          <w:rFonts w:hint="eastAsia" w:ascii="Times New Roman" w:hAnsi="Times New Roman" w:eastAsia="仿宋_GB2312" w:cs="Times New Roman"/>
          <w:sz w:val="32"/>
          <w:szCs w:val="32"/>
          <w:lang w:val="en-US" w:eastAsia="zh-CN"/>
        </w:rPr>
        <w:t>1809.31</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lang w:val="en-US" w:eastAsia="zh-CN"/>
        </w:rPr>
        <w:t>39.7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val="en-US" w:eastAsia="zh-CN"/>
        </w:rPr>
        <w:t>减少1849.01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文化和旅游</w:t>
      </w:r>
      <w:r>
        <w:rPr>
          <w:rFonts w:ascii="Times New Roman" w:hAnsi="Times New Roman" w:eastAsia="仿宋_GB2312" w:cs="Times New Roman"/>
          <w:sz w:val="32"/>
          <w:szCs w:val="32"/>
        </w:rPr>
        <w:t>项目支出。</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both"/>
        <w:textAlignment w:val="auto"/>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单位公用经费安排情况</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108.41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三河市文化广电和旅游局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6.50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5.13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5.13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1.37</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lang w:val="en-US" w:eastAsia="zh-CN"/>
        </w:rPr>
        <w:t>相比增加0.62万元，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2021年相比</w:t>
      </w:r>
      <w:r>
        <w:rPr>
          <w:rFonts w:hint="eastAsia" w:ascii="Times New Roman" w:hAnsi="Times New Roman" w:eastAsia="仿宋_GB2312" w:cs="Times New Roman"/>
          <w:sz w:val="32"/>
          <w:szCs w:val="32"/>
          <w:lang w:eastAsia="zh-CN"/>
        </w:rPr>
        <w:t>持平，无增减变化</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1.37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增</w:t>
      </w:r>
      <w:r>
        <w:rPr>
          <w:rFonts w:hint="eastAsia" w:ascii="Times New Roman" w:hAnsi="Times New Roman" w:eastAsia="仿宋_GB2312" w:cs="Times New Roman"/>
          <w:sz w:val="32"/>
          <w:szCs w:val="32"/>
        </w:rPr>
        <w:t>加</w:t>
      </w:r>
      <w:r>
        <w:rPr>
          <w:rFonts w:hint="eastAsia" w:ascii="Times New Roman" w:hAnsi="Times New Roman" w:eastAsia="仿宋_GB2312" w:cs="Times New Roman"/>
          <w:sz w:val="32"/>
          <w:szCs w:val="32"/>
          <w:lang w:val="en-US" w:eastAsia="zh-CN"/>
        </w:rPr>
        <w:t>0.62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w:t>
      </w:r>
      <w:r>
        <w:rPr>
          <w:rFonts w:hint="eastAsia" w:ascii="Times New Roman" w:hAnsi="Times New Roman" w:eastAsia="仿宋_GB2312" w:cs="Times New Roman"/>
          <w:sz w:val="32"/>
          <w:szCs w:val="32"/>
          <w:lang w:eastAsia="zh-CN"/>
        </w:rPr>
        <w:t>是人员增加。</w:t>
      </w:r>
      <w:bookmarkStart w:id="3" w:name="_GoBack"/>
      <w:bookmarkEnd w:id="3"/>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 xml:space="preserve">坚持以习近平新时代中国特色社会主义思想为统领，在市委、市政府的正确领导下，深入贯彻落实党的“不忘初心、牢记使命”主题教育精神，坚持以社会主义核心价值观引领文化旅游建设，坚持科学以科学规划指引文旅产业发展，贯彻国家和省、市关于文化广电、旅游工作的方针、政策和法规，指导、管理全市文化广电、旅游事业，指导艺术创作与生产，推动各门类艺术的发展，管理全市性重大文化活动，计划完成“彩色周末”23场、“民星大舞台”10场、“文化下乡”327场、“传统文化进校园”、“京东大鼓”演出、主题书画影展等文化活动品牌。举办“文化和自然遗产日”、“中国旅游日”、“世界读书日”、“博物馆日”、“我们的节日”等系列文旅主题活动。开展系列群众文化大培训、文艺拔尖人才培训等。坚持以政策和资金扶持激励文旅产业投入，坚持乡村振兴与全域旅游建设相结合，坚持文化艺术服务人民、服务基层、服务市委、市政府中心工作，坚持依法行政严格执法，坚持为民、务实、高效、廉洁，切实转变工作作风，创新工作方法，2022年我局继续鼓励重点文旅企业“走出去”将我市文旅资源推向全国，促进交流合作；“请进来”将全国先进理念，先进经验带回三河。推动和促进文化旅游战线各项工作全面进步，为全市政治、经济和社会全面发展做出应有的贡献。 </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ascii="Times New Roman" w:hAnsi="Times New Roman" w:eastAsia="仿宋_GB2312" w:cs="Times New Roman"/>
          <w:kern w:val="2"/>
          <w:sz w:val="32"/>
          <w:szCs w:val="32"/>
          <w:lang w:val="en-US" w:eastAsia="zh-CN" w:bidi="ar-SA"/>
        </w:rPr>
        <w:t>旅游宣传活动。</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开展旅游宣传工作，有效地宣传推介我市旅游资源和旅游产品，更好地宣传三河、展示三河、增强三河的知名度和美誉度，实现旅游收入和接待游客人数双增长，旅游消费升级将进一步拉动经济增长。通过播种油菜花和制定旅游规划来吸引游客来我市旅游度假休闲，保障我市文旅产业稳步发展。</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绩效指标：数量指标：播种油菜花面积300亩；举行各项旅游推介活动参观人次达到1000人次。时效指标：各项活动、油菜花播种完成时间均为1年。</w:t>
      </w:r>
    </w:p>
    <w:p>
      <w:pPr>
        <w:pStyle w:val="20"/>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文化惠民活动。</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绩效目标：通过开展此项文化惠民演出活动，活跃全市人民的文化生活并达到国家公共文化服务体系示范区的总体要求，顺利通过示范区复检工作。实现讴歌伟大的党、伟大的祖国、伟大的中国梦和美丽的三河。</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绩效指标：数量指标：全年预计完成文化惠民演出350场。成本指标：单场演出成本控制在1.3万元。</w:t>
      </w:r>
    </w:p>
    <w:p>
      <w:pPr>
        <w:pStyle w:val="20"/>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传统文化进校园文化活动</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绩效目标：通过戏曲进校园文化活动的开展，实现激发学生对优秀传统文化艺术的热爱，形成戏曲传承发展的浓厚氛围。</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绩效指标：数量指标：全年预计完成传统文化进校园活动20场。成本指标：单场演出成本控制在0.9万元。</w:t>
      </w:r>
    </w:p>
    <w:p>
      <w:pPr>
        <w:pStyle w:val="20"/>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博物馆免费开放活动</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绩效目标：使广大群众加深对博物馆的了解与认知，更加了解三河丰富的历史文化资源，使三河的历史文化得到传承</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数量指标：制定博物馆中长期发展规划1个；走进社区、军营及四个文化站进行文物宣讲；开展清明节、中秋节、博物馆日等相关活动10场。成本指标：平均每场活动控制在3000元。3、时效指标：各项活动开展均在1年内完成。</w:t>
      </w:r>
    </w:p>
    <w:p>
      <w:pPr>
        <w:pStyle w:val="20"/>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w:t>
      </w:r>
      <w:r>
        <w:rPr>
          <w:rFonts w:ascii="Times New Roman" w:hAnsi="Times New Roman" w:eastAsia="仿宋_GB2312" w:cs="Times New Roman"/>
          <w:kern w:val="2"/>
          <w:sz w:val="32"/>
          <w:szCs w:val="32"/>
          <w:lang w:val="en-US" w:eastAsia="zh-CN" w:bidi="ar-SA"/>
        </w:rPr>
        <w:t>农村公益电影放映活动</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绩效目标：宣传党的路线、方针、政策，普及推广爱国主义教育和科普常识教育；在寓教于乐的基础上，推动农村文化建设。</w:t>
      </w:r>
    </w:p>
    <w:p>
      <w:pPr>
        <w:pStyle w:val="2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绩效指标：数量指标：全年组织农村公益电影放映活动4740场；成本指标：平均每场活动控制在100元。社会效益指标：电影覆盖全市395个村庄，有效促进普及推广爱国主义教育和科普常识教育。</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完善预算绩效管理制度建设。为进一步加强预算绩效管理，提高预算绩效目标管理的科学性、规范性和有效性，根据《中共三河市委三河市人民政府关于全面实施预算绩效管理的实施意见》（三发〔2019〕18号）的有关规定，参照《三河市财政局预算绩效目标管理办法（试行）》,我部门制定完善《整体绩效评价管理办法》、部门《事前绩效评估管理办法》、部门《绩效运行监控管理办法》和部门《绩效目标管理管理办法》，确保部门预算绩效执行的科学性和合理性。</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认真贯彻部门《财务支出管理办法》。我部门完善强化《财务支出管理办法》、《预算业务管理制度》，加强支出管理、提高资金使用效率，确保项目资金支出的及时性、合理性和合规性，增强预算的科学性。</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做好绩效自评。按照财政部门的相关要求，我部门按照要求的时间节点做好我部门相关项目支出的绩效自评工作。2020年开展的绩效自评的项目为49个，涉及项目资金8430.18万元，项目资金执行率为87%，项目资金按照预算项目资金管理使用办法专款专用，全部用于各预算项目支出。针对绩效目标实现率低的项目，我部门将积极督促相关科室与上级部门进行沟通，确保资金批文及时下达，保证资金的顺利支出。同时，对各个项目绩效自评情况进行及时整理、归纳、分析，将其作为改善我单位预算管理工作和安排以后年度预算的依据。不断完善绩效评价指标，逐步建立符合我部门工作特点的绩效评价指标体系。</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开展宣传培训调研工作。我部门组织下属单位积极参加财政部门组织的绩效目标管理培训会议和讲座，同时组织机关各股室、各部门开展部门专项项目预算编审培训会、绩效管理培训会，针对绩效目标各项指标的编审开展专家辅导培训会，为我部门各项专项项目的绩效目标指标设定奠定基础。</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 xml:space="preserve"> </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2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40"/>
        <w:gridCol w:w="768"/>
        <w:gridCol w:w="1380"/>
        <w:gridCol w:w="828"/>
        <w:gridCol w:w="1380"/>
        <w:gridCol w:w="703"/>
        <w:gridCol w:w="768"/>
        <w:gridCol w:w="768"/>
        <w:gridCol w:w="5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04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76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38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82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38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239"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508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040" w:type="dxa"/>
            <w:vMerge w:val="continue"/>
            <w:tcBorders>
              <w:tl2br w:val="nil"/>
              <w:tr2bl w:val="nil"/>
            </w:tcBorders>
            <w:vAlign w:val="center"/>
          </w:tcPr>
          <w:p/>
        </w:tc>
        <w:tc>
          <w:tcPr>
            <w:tcW w:w="768" w:type="dxa"/>
            <w:vMerge w:val="continue"/>
            <w:tcBorders>
              <w:tl2br w:val="nil"/>
              <w:tr2bl w:val="nil"/>
            </w:tcBorders>
            <w:vAlign w:val="center"/>
          </w:tcPr>
          <w:p/>
        </w:tc>
        <w:tc>
          <w:tcPr>
            <w:tcW w:w="1380" w:type="dxa"/>
            <w:vMerge w:val="continue"/>
            <w:tcBorders>
              <w:tl2br w:val="nil"/>
              <w:tr2bl w:val="nil"/>
            </w:tcBorders>
            <w:vAlign w:val="center"/>
          </w:tcPr>
          <w:p/>
        </w:tc>
        <w:tc>
          <w:tcPr>
            <w:tcW w:w="828" w:type="dxa"/>
            <w:vMerge w:val="continue"/>
            <w:tcBorders>
              <w:tl2br w:val="nil"/>
              <w:tr2bl w:val="nil"/>
            </w:tcBorders>
            <w:vAlign w:val="center"/>
          </w:tcPr>
          <w:p/>
        </w:tc>
        <w:tc>
          <w:tcPr>
            <w:tcW w:w="1380" w:type="dxa"/>
            <w:vMerge w:val="continue"/>
            <w:tcBorders>
              <w:tl2br w:val="nil"/>
              <w:tr2bl w:val="nil"/>
            </w:tcBorders>
            <w:vAlign w:val="center"/>
          </w:tcPr>
          <w:p/>
        </w:tc>
        <w:tc>
          <w:tcPr>
            <w:tcW w:w="70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6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76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508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040"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38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送公益文化惠民活动场次</w:t>
            </w:r>
          </w:p>
        </w:tc>
        <w:tc>
          <w:tcPr>
            <w:tcW w:w="82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20</w:t>
            </w:r>
          </w:p>
        </w:tc>
        <w:tc>
          <w:tcPr>
            <w:tcW w:w="138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送公益文化惠民活动场次</w:t>
            </w:r>
          </w:p>
        </w:tc>
        <w:tc>
          <w:tcPr>
            <w:tcW w:w="70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 xml:space="preserve">  =     </w:t>
            </w: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350</w:t>
            </w: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场</w:t>
            </w:r>
          </w:p>
        </w:tc>
        <w:tc>
          <w:tcPr>
            <w:tcW w:w="50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中共廊坊市委廊发【2014】7号《关于创建国家公共文化服务体系示范区的实施意见》。中共河北省委办公厅 湖北省人民政府办公厅 冀办密传【2020】67号《关于支持国有文艺院团深化改革发展的若干措施》的通知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040" w:type="dxa"/>
            <w:vMerge w:val="continue"/>
            <w:tcBorders>
              <w:tl2br w:val="nil"/>
              <w:tr2bl w:val="nil"/>
            </w:tcBorders>
            <w:vAlign w:val="center"/>
          </w:tcPr>
          <w:p>
            <w:pPr>
              <w:widowControl/>
              <w:adjustRightInd w:val="0"/>
              <w:snapToGrid w:val="0"/>
              <w:jc w:val="center"/>
              <w:rPr>
                <w:rFonts w:hint="eastAsia" w:ascii="方正书宋_GBK" w:eastAsia="方正书宋_GBK"/>
                <w:lang w:eastAsia="zh-CN"/>
              </w:rPr>
            </w:pP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38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播种油菜花</w:t>
            </w:r>
          </w:p>
        </w:tc>
        <w:tc>
          <w:tcPr>
            <w:tcW w:w="82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20</w:t>
            </w:r>
          </w:p>
        </w:tc>
        <w:tc>
          <w:tcPr>
            <w:tcW w:w="138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反映油菜花播种面积情况</w:t>
            </w:r>
          </w:p>
        </w:tc>
        <w:tc>
          <w:tcPr>
            <w:tcW w:w="70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300</w:t>
            </w: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亩</w:t>
            </w:r>
          </w:p>
        </w:tc>
        <w:tc>
          <w:tcPr>
            <w:tcW w:w="50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040" w:type="dxa"/>
            <w:vMerge w:val="continue"/>
            <w:tcBorders>
              <w:tl2br w:val="nil"/>
              <w:tr2bl w:val="nil"/>
            </w:tcBorders>
            <w:vAlign w:val="center"/>
          </w:tcPr>
          <w:p>
            <w:pPr>
              <w:widowControl/>
              <w:adjustRightInd w:val="0"/>
              <w:snapToGrid w:val="0"/>
              <w:jc w:val="center"/>
              <w:rPr>
                <w:rFonts w:hint="eastAsia" w:ascii="方正书宋_GBK" w:eastAsia="方正书宋_GBK"/>
                <w:lang w:eastAsia="zh-CN"/>
              </w:rPr>
            </w:pP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38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组织传统文化进校园文化活动场次</w:t>
            </w:r>
          </w:p>
        </w:tc>
        <w:tc>
          <w:tcPr>
            <w:tcW w:w="82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20</w:t>
            </w:r>
          </w:p>
        </w:tc>
        <w:tc>
          <w:tcPr>
            <w:tcW w:w="138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组织传统文化进校园文化活动场次</w:t>
            </w:r>
          </w:p>
        </w:tc>
        <w:tc>
          <w:tcPr>
            <w:tcW w:w="70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 xml:space="preserve">  =     </w:t>
            </w: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20</w:t>
            </w: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场</w:t>
            </w:r>
          </w:p>
        </w:tc>
        <w:tc>
          <w:tcPr>
            <w:tcW w:w="50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中共廊坊市委宣传部廊宣字【2020】8号关于做好2020年“传统文化进校园”有关工作的通知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40" w:type="dxa"/>
            <w:vMerge w:val="continue"/>
            <w:tcBorders>
              <w:tl2br w:val="nil"/>
              <w:tr2bl w:val="nil"/>
            </w:tcBorders>
            <w:vAlign w:val="center"/>
          </w:tcP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38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送公益流动文化服务进基层完成率</w:t>
            </w:r>
          </w:p>
        </w:tc>
        <w:tc>
          <w:tcPr>
            <w:tcW w:w="82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20</w:t>
            </w:r>
          </w:p>
        </w:tc>
        <w:tc>
          <w:tcPr>
            <w:tcW w:w="138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年度内送公益文艺演出实际场次数占计划场次的比率</w:t>
            </w:r>
          </w:p>
        </w:tc>
        <w:tc>
          <w:tcPr>
            <w:tcW w:w="70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 xml:space="preserve">  =     </w:t>
            </w:r>
          </w:p>
        </w:tc>
        <w:tc>
          <w:tcPr>
            <w:tcW w:w="76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100</w:t>
            </w:r>
          </w:p>
        </w:tc>
        <w:tc>
          <w:tcPr>
            <w:tcW w:w="76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百分比</w:t>
            </w:r>
          </w:p>
        </w:tc>
        <w:tc>
          <w:tcPr>
            <w:tcW w:w="508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回执单及照片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40" w:type="dxa"/>
            <w:vMerge w:val="continue"/>
            <w:tcBorders>
              <w:tl2br w:val="nil"/>
              <w:tr2bl w:val="nil"/>
            </w:tcBorders>
            <w:vAlign w:val="center"/>
          </w:tcPr>
          <w:p/>
        </w:tc>
        <w:tc>
          <w:tcPr>
            <w:tcW w:w="76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质量</w:t>
            </w:r>
          </w:p>
        </w:tc>
        <w:tc>
          <w:tcPr>
            <w:tcW w:w="138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播种油菜花合格率</w:t>
            </w:r>
          </w:p>
        </w:tc>
        <w:tc>
          <w:tcPr>
            <w:tcW w:w="82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20</w:t>
            </w:r>
          </w:p>
        </w:tc>
        <w:tc>
          <w:tcPr>
            <w:tcW w:w="138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反映播种油菜花质量合格情况</w:t>
            </w:r>
          </w:p>
        </w:tc>
        <w:tc>
          <w:tcPr>
            <w:tcW w:w="70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 xml:space="preserve">  =     </w:t>
            </w:r>
          </w:p>
        </w:tc>
        <w:tc>
          <w:tcPr>
            <w:tcW w:w="76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100</w:t>
            </w:r>
          </w:p>
        </w:tc>
        <w:tc>
          <w:tcPr>
            <w:tcW w:w="76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百分比</w:t>
            </w:r>
          </w:p>
        </w:tc>
        <w:tc>
          <w:tcPr>
            <w:tcW w:w="508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40" w:type="dxa"/>
            <w:vMerge w:val="continue"/>
            <w:tcBorders>
              <w:tl2br w:val="nil"/>
              <w:tr2bl w:val="nil"/>
            </w:tcBorders>
            <w:vAlign w:val="center"/>
          </w:tcPr>
          <w:p/>
        </w:tc>
        <w:tc>
          <w:tcPr>
            <w:tcW w:w="76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质量</w:t>
            </w:r>
          </w:p>
        </w:tc>
        <w:tc>
          <w:tcPr>
            <w:tcW w:w="138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传统文化进校园完成率</w:t>
            </w:r>
          </w:p>
        </w:tc>
        <w:tc>
          <w:tcPr>
            <w:tcW w:w="82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20</w:t>
            </w:r>
          </w:p>
        </w:tc>
        <w:tc>
          <w:tcPr>
            <w:tcW w:w="138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年度内实际演出场次占计划演出场次比率</w:t>
            </w:r>
          </w:p>
        </w:tc>
        <w:tc>
          <w:tcPr>
            <w:tcW w:w="70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 xml:space="preserve">  =     </w:t>
            </w:r>
          </w:p>
        </w:tc>
        <w:tc>
          <w:tcPr>
            <w:tcW w:w="76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100</w:t>
            </w:r>
          </w:p>
        </w:tc>
        <w:tc>
          <w:tcPr>
            <w:tcW w:w="76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百分比</w:t>
            </w:r>
          </w:p>
        </w:tc>
        <w:tc>
          <w:tcPr>
            <w:tcW w:w="5088"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回执单及照片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040" w:type="dxa"/>
            <w:vMerge w:val="continue"/>
            <w:tcBorders>
              <w:tl2br w:val="nil"/>
              <w:tr2bl w:val="nil"/>
            </w:tcBorders>
            <w:vAlign w:val="center"/>
          </w:tcP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38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各项工作完成时间</w:t>
            </w:r>
          </w:p>
        </w:tc>
        <w:tc>
          <w:tcPr>
            <w:tcW w:w="82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20</w:t>
            </w:r>
          </w:p>
        </w:tc>
        <w:tc>
          <w:tcPr>
            <w:tcW w:w="138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反映部门各项工作完成时间情况</w:t>
            </w:r>
          </w:p>
        </w:tc>
        <w:tc>
          <w:tcPr>
            <w:tcW w:w="70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 xml:space="preserve">  =     </w:t>
            </w:r>
          </w:p>
        </w:tc>
        <w:tc>
          <w:tcPr>
            <w:tcW w:w="76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w:t>
            </w:r>
          </w:p>
        </w:tc>
        <w:tc>
          <w:tcPr>
            <w:tcW w:w="76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年</w:t>
            </w:r>
          </w:p>
        </w:tc>
        <w:tc>
          <w:tcPr>
            <w:tcW w:w="508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预算支出进度安排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40" w:type="dxa"/>
            <w:vMerge w:val="continue"/>
            <w:tcBorders>
              <w:tl2br w:val="nil"/>
              <w:tr2bl w:val="nil"/>
            </w:tcBorders>
            <w:vAlign w:val="center"/>
          </w:tcP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38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部门整体预算支出成本</w:t>
            </w:r>
          </w:p>
        </w:tc>
        <w:tc>
          <w:tcPr>
            <w:tcW w:w="82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20</w:t>
            </w:r>
          </w:p>
        </w:tc>
        <w:tc>
          <w:tcPr>
            <w:tcW w:w="138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反映年度部门整体预算支出的成本情况</w:t>
            </w:r>
          </w:p>
        </w:tc>
        <w:tc>
          <w:tcPr>
            <w:tcW w:w="703"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lang w:val="en-US" w:eastAsia="zh-CN"/>
              </w:rPr>
              <w:t>≤</w:t>
            </w:r>
          </w:p>
        </w:tc>
        <w:tc>
          <w:tcPr>
            <w:tcW w:w="768"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lang w:val="en-US" w:eastAsia="zh-CN"/>
              </w:rPr>
              <w:t>5002.85</w:t>
            </w:r>
          </w:p>
        </w:tc>
        <w:tc>
          <w:tcPr>
            <w:tcW w:w="768"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lang w:val="en-US" w:eastAsia="zh-CN"/>
              </w:rPr>
              <w:t>万元</w:t>
            </w:r>
          </w:p>
        </w:tc>
        <w:tc>
          <w:tcPr>
            <w:tcW w:w="508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2022年预算安排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40"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380"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lang w:val="en-US" w:eastAsia="zh-CN"/>
              </w:rPr>
              <w:t>提高三河旅游知名度，改善旅游环境</w:t>
            </w:r>
          </w:p>
        </w:tc>
        <w:tc>
          <w:tcPr>
            <w:tcW w:w="82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20</w:t>
            </w:r>
          </w:p>
        </w:tc>
        <w:tc>
          <w:tcPr>
            <w:tcW w:w="1380"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lang w:val="en-US" w:eastAsia="zh-CN"/>
              </w:rPr>
              <w:t>促进三河文旅事业发展</w:t>
            </w:r>
          </w:p>
        </w:tc>
        <w:tc>
          <w:tcPr>
            <w:tcW w:w="703"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lang w:val="en-US" w:eastAsia="zh-CN"/>
              </w:rPr>
              <w:t>文字描述</w:t>
            </w:r>
          </w:p>
        </w:tc>
        <w:tc>
          <w:tcPr>
            <w:tcW w:w="768" w:type="dxa"/>
            <w:tcBorders>
              <w:tl2br w:val="nil"/>
              <w:tr2bl w:val="nil"/>
            </w:tcBorders>
            <w:vAlign w:val="center"/>
          </w:tcPr>
          <w:p>
            <w:pPr>
              <w:widowControl/>
              <w:adjustRightInd w:val="0"/>
              <w:snapToGrid w:val="0"/>
              <w:jc w:val="center"/>
              <w:rPr>
                <w:rFonts w:hint="eastAsia" w:ascii="方正书宋_GBK" w:eastAsia="方正书宋_GBK"/>
              </w:rPr>
            </w:pPr>
          </w:p>
        </w:tc>
        <w:tc>
          <w:tcPr>
            <w:tcW w:w="76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有效促进</w:t>
            </w:r>
          </w:p>
        </w:tc>
        <w:tc>
          <w:tcPr>
            <w:tcW w:w="508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40" w:type="dxa"/>
            <w:vMerge w:val="continue"/>
            <w:tcBorders>
              <w:tl2br w:val="nil"/>
              <w:tr2bl w:val="nil"/>
            </w:tcBorders>
            <w:vAlign w:val="center"/>
          </w:tcPr>
          <w:p>
            <w:pPr>
              <w:adjustRightInd w:val="0"/>
              <w:snapToGrid w:val="0"/>
              <w:jc w:val="center"/>
              <w:rPr>
                <w:rFonts w:hint="eastAsia" w:ascii="方正书宋_GBK" w:eastAsia="方正书宋_GBK"/>
                <w:lang w:eastAsia="zh-CN"/>
              </w:rPr>
            </w:pP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380"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lang w:val="en-US" w:eastAsia="zh-CN"/>
              </w:rPr>
              <w:t>提高观众的传统文化素养，做好戏曲文化宣传展示覆盖率</w:t>
            </w:r>
          </w:p>
        </w:tc>
        <w:tc>
          <w:tcPr>
            <w:tcW w:w="82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20</w:t>
            </w:r>
          </w:p>
        </w:tc>
        <w:tc>
          <w:tcPr>
            <w:tcW w:w="1380"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lang w:val="en-US" w:eastAsia="zh-CN"/>
              </w:rPr>
              <w:t>提高观众的传统文化素养，做好戏曲文化宣传展示覆盖率</w:t>
            </w:r>
          </w:p>
        </w:tc>
        <w:tc>
          <w:tcPr>
            <w:tcW w:w="703"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lang w:val="en-US" w:eastAsia="zh-CN"/>
              </w:rPr>
              <w:t xml:space="preserve">  ≥      </w:t>
            </w:r>
          </w:p>
        </w:tc>
        <w:tc>
          <w:tcPr>
            <w:tcW w:w="76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85</w:t>
            </w:r>
          </w:p>
        </w:tc>
        <w:tc>
          <w:tcPr>
            <w:tcW w:w="76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百分比</w:t>
            </w:r>
          </w:p>
        </w:tc>
        <w:tc>
          <w:tcPr>
            <w:tcW w:w="5088"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lang w:val="en-US" w:eastAsia="zh-CN"/>
              </w:rPr>
              <w:t>观众调查表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040" w:type="dxa"/>
            <w:vMerge w:val="continue"/>
            <w:tcBorders>
              <w:tl2br w:val="nil"/>
              <w:tr2bl w:val="nil"/>
            </w:tcBorders>
            <w:vAlign w:val="center"/>
          </w:tcPr>
          <w:p/>
        </w:tc>
        <w:tc>
          <w:tcPr>
            <w:tcW w:w="76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380"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受益群体满意度</w:t>
            </w:r>
          </w:p>
        </w:tc>
        <w:tc>
          <w:tcPr>
            <w:tcW w:w="828" w:type="dxa"/>
            <w:tcBorders>
              <w:tl2br w:val="nil"/>
              <w:tr2bl w:val="nil"/>
            </w:tcBorders>
            <w:noWrap/>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1380"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反映各项工作受益群体的满意度</w:t>
            </w:r>
          </w:p>
        </w:tc>
        <w:tc>
          <w:tcPr>
            <w:tcW w:w="703"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 xml:space="preserve">  ≥      </w:t>
            </w:r>
          </w:p>
        </w:tc>
        <w:tc>
          <w:tcPr>
            <w:tcW w:w="76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90</w:t>
            </w:r>
          </w:p>
        </w:tc>
        <w:tc>
          <w:tcPr>
            <w:tcW w:w="76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百分比</w:t>
            </w:r>
          </w:p>
        </w:tc>
        <w:tc>
          <w:tcPr>
            <w:tcW w:w="508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1.安全生产教育活动经费绩效目标表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6"/>
        <w:gridCol w:w="1824"/>
        <w:gridCol w:w="2172"/>
        <w:gridCol w:w="3432"/>
        <w:gridCol w:w="1836"/>
        <w:gridCol w:w="29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6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96" w:type="dxa"/>
            <w:gridSpan w:val="5"/>
            <w:shd w:val="clear" w:color="auto" w:fill="auto"/>
            <w:vAlign w:val="center"/>
          </w:tcPr>
          <w:p>
            <w:pPr>
              <w:pStyle w:val="14"/>
              <w:rPr>
                <w:rFonts w:ascii="Times New Roman" w:hAnsi="Times New Roman" w:eastAsia="仿宋_GB2312" w:cs="Times New Roman"/>
                <w:b/>
              </w:rPr>
            </w:pPr>
            <w:r>
              <w:rPr>
                <w:sz w:val="15"/>
                <w:szCs w:val="15"/>
              </w:rPr>
              <w:t>通过提供法律咨询，提高机关干部职工的法律意识。通过召开警示教育培训大会，签订年度责任书，聘请专家进行培训，压实安全生产主体责任。印制宣传资料，组织宣传活动，切实提高文旅市场经营单位安全生产意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6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2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7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3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3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3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24"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数量指标</w:t>
            </w:r>
          </w:p>
        </w:tc>
        <w:tc>
          <w:tcPr>
            <w:tcW w:w="2172"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培训、宣传场次</w:t>
            </w:r>
          </w:p>
        </w:tc>
        <w:tc>
          <w:tcPr>
            <w:tcW w:w="3432"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组织安全生产专项培训、宣传活动</w:t>
            </w:r>
          </w:p>
        </w:tc>
        <w:tc>
          <w:tcPr>
            <w:tcW w:w="1836"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≥2场</w:t>
            </w:r>
          </w:p>
        </w:tc>
        <w:tc>
          <w:tcPr>
            <w:tcW w:w="29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18"/>
                <w:szCs w:val="18"/>
                <w:lang w:val="en-US" w:eastAsia="zh-CN" w:bidi="ar-SA"/>
              </w:rPr>
              <w:t>2018年、2019年、2020年聘用法律顾问费用呈上升趋势。文件依据是根据历年安排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6" w:type="dxa"/>
            <w:vMerge w:val="continue"/>
            <w:shd w:val="clear" w:color="auto" w:fill="auto"/>
            <w:vAlign w:val="center"/>
          </w:tcPr>
          <w:p/>
        </w:tc>
        <w:tc>
          <w:tcPr>
            <w:tcW w:w="1824"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质量指标</w:t>
            </w:r>
          </w:p>
        </w:tc>
        <w:tc>
          <w:tcPr>
            <w:tcW w:w="217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安全培训达标率、宣传效果</w:t>
            </w:r>
          </w:p>
        </w:tc>
        <w:tc>
          <w:tcPr>
            <w:tcW w:w="34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安全操作能力达标人数、安全生产意识提升等</w:t>
            </w:r>
          </w:p>
        </w:tc>
        <w:tc>
          <w:tcPr>
            <w:tcW w:w="1836"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≥90百分比</w:t>
            </w:r>
          </w:p>
        </w:tc>
        <w:tc>
          <w:tcPr>
            <w:tcW w:w="29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6" w:type="dxa"/>
            <w:vMerge w:val="continue"/>
            <w:shd w:val="clear" w:color="auto" w:fill="auto"/>
            <w:vAlign w:val="center"/>
          </w:tcPr>
          <w:p/>
        </w:tc>
        <w:tc>
          <w:tcPr>
            <w:tcW w:w="1824"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质量指标</w:t>
            </w:r>
          </w:p>
        </w:tc>
        <w:tc>
          <w:tcPr>
            <w:tcW w:w="217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法律条款有效性</w:t>
            </w:r>
          </w:p>
          <w:p>
            <w:pPr>
              <w:spacing w:line="300" w:lineRule="exact"/>
              <w:jc w:val="left"/>
              <w:rPr>
                <w:rFonts w:hint="eastAsia" w:ascii="Times New Roman" w:hAnsi="Times New Roman" w:eastAsia="仿宋_GB2312" w:cs="Times New Roman"/>
                <w:lang w:val="en-US" w:eastAsia="zh-CN"/>
              </w:rPr>
            </w:pPr>
          </w:p>
        </w:tc>
        <w:tc>
          <w:tcPr>
            <w:tcW w:w="34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法律条款有效性</w:t>
            </w:r>
          </w:p>
          <w:p>
            <w:pPr>
              <w:spacing w:line="300" w:lineRule="exact"/>
              <w:jc w:val="left"/>
              <w:rPr>
                <w:rFonts w:hint="eastAsia" w:ascii="Times New Roman" w:hAnsi="Times New Roman" w:eastAsia="仿宋_GB2312" w:cs="Times New Roman"/>
                <w:lang w:val="en-US" w:eastAsia="zh-CN"/>
              </w:rPr>
            </w:pPr>
          </w:p>
        </w:tc>
        <w:tc>
          <w:tcPr>
            <w:tcW w:w="1836"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=100百分比</w:t>
            </w:r>
          </w:p>
        </w:tc>
        <w:tc>
          <w:tcPr>
            <w:tcW w:w="29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2018年、2019年、2020年聘用法律顾问费用呈上升趋势。文件依据是根据历年安排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6" w:type="dxa"/>
            <w:vMerge w:val="continue"/>
            <w:shd w:val="clear" w:color="auto" w:fill="auto"/>
            <w:vAlign w:val="center"/>
          </w:tcPr>
          <w:p/>
        </w:tc>
        <w:tc>
          <w:tcPr>
            <w:tcW w:w="1824"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时效指标</w:t>
            </w:r>
          </w:p>
        </w:tc>
        <w:tc>
          <w:tcPr>
            <w:tcW w:w="217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计划任务按时完成率</w:t>
            </w:r>
          </w:p>
          <w:p>
            <w:pPr>
              <w:spacing w:line="300" w:lineRule="exact"/>
              <w:jc w:val="left"/>
              <w:rPr>
                <w:rFonts w:hint="eastAsia" w:ascii="Times New Roman" w:hAnsi="Times New Roman" w:eastAsia="仿宋_GB2312" w:cs="Times New Roman"/>
                <w:lang w:val="en-US" w:eastAsia="zh-CN"/>
              </w:rPr>
            </w:pPr>
          </w:p>
        </w:tc>
        <w:tc>
          <w:tcPr>
            <w:tcW w:w="34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全年完成工作时间</w:t>
            </w:r>
          </w:p>
        </w:tc>
        <w:tc>
          <w:tcPr>
            <w:tcW w:w="1836"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1年</w:t>
            </w:r>
          </w:p>
        </w:tc>
        <w:tc>
          <w:tcPr>
            <w:tcW w:w="29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6" w:type="dxa"/>
            <w:vMerge w:val="continue"/>
            <w:shd w:val="clear" w:color="auto" w:fill="auto"/>
            <w:vAlign w:val="center"/>
          </w:tcPr>
          <w:p/>
        </w:tc>
        <w:tc>
          <w:tcPr>
            <w:tcW w:w="1824"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成本指标</w:t>
            </w:r>
          </w:p>
        </w:tc>
        <w:tc>
          <w:tcPr>
            <w:tcW w:w="217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平均每次法律咨询所需成本</w:t>
            </w:r>
          </w:p>
          <w:p>
            <w:pPr>
              <w:spacing w:line="300" w:lineRule="exact"/>
              <w:jc w:val="left"/>
              <w:rPr>
                <w:rFonts w:hint="eastAsia" w:ascii="Times New Roman" w:hAnsi="Times New Roman" w:eastAsia="仿宋_GB2312" w:cs="Times New Roman"/>
                <w:lang w:val="en-US" w:eastAsia="zh-CN"/>
              </w:rPr>
            </w:pPr>
          </w:p>
        </w:tc>
        <w:tc>
          <w:tcPr>
            <w:tcW w:w="34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平均每次法律咨询所需成本</w:t>
            </w:r>
          </w:p>
          <w:p>
            <w:pPr>
              <w:spacing w:line="300" w:lineRule="exact"/>
              <w:jc w:val="left"/>
              <w:rPr>
                <w:rFonts w:hint="eastAsia" w:ascii="Times New Roman" w:hAnsi="Times New Roman" w:eastAsia="仿宋_GB2312" w:cs="Times New Roman"/>
                <w:lang w:val="en-US" w:eastAsia="zh-CN"/>
              </w:rPr>
            </w:pPr>
          </w:p>
        </w:tc>
        <w:tc>
          <w:tcPr>
            <w:tcW w:w="1836"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≤0.6万元</w:t>
            </w:r>
          </w:p>
        </w:tc>
        <w:tc>
          <w:tcPr>
            <w:tcW w:w="29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2018年、2019年、2020年聘用法律顾问费用呈上升趋势。文件依据是根据历年安排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6" w:type="dxa"/>
            <w:vMerge w:val="continue"/>
            <w:shd w:val="clear" w:color="auto" w:fill="auto"/>
            <w:vAlign w:val="center"/>
          </w:tcPr>
          <w:p/>
        </w:tc>
        <w:tc>
          <w:tcPr>
            <w:tcW w:w="1824"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成本指标</w:t>
            </w:r>
          </w:p>
        </w:tc>
        <w:tc>
          <w:tcPr>
            <w:tcW w:w="217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每次活动成本</w:t>
            </w:r>
          </w:p>
          <w:p>
            <w:pPr>
              <w:spacing w:line="300" w:lineRule="exact"/>
              <w:jc w:val="left"/>
              <w:rPr>
                <w:rFonts w:hint="eastAsia" w:ascii="Times New Roman" w:hAnsi="Times New Roman" w:eastAsia="仿宋_GB2312" w:cs="Times New Roman"/>
                <w:lang w:val="en-US" w:eastAsia="zh-CN"/>
              </w:rPr>
            </w:pPr>
          </w:p>
        </w:tc>
        <w:tc>
          <w:tcPr>
            <w:tcW w:w="34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平均每次需要金额</w:t>
            </w:r>
          </w:p>
        </w:tc>
        <w:tc>
          <w:tcPr>
            <w:tcW w:w="1836"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≤1万元</w:t>
            </w:r>
          </w:p>
        </w:tc>
        <w:tc>
          <w:tcPr>
            <w:tcW w:w="29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安全生产法等各类文件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24"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社会效益指标</w:t>
            </w:r>
          </w:p>
        </w:tc>
        <w:tc>
          <w:tcPr>
            <w:tcW w:w="217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法律意识提高</w:t>
            </w:r>
          </w:p>
          <w:p>
            <w:pPr>
              <w:spacing w:line="300" w:lineRule="exact"/>
              <w:jc w:val="left"/>
              <w:rPr>
                <w:rFonts w:hint="eastAsia" w:ascii="Times New Roman" w:hAnsi="Times New Roman" w:eastAsia="仿宋_GB2312" w:cs="Times New Roman"/>
                <w:lang w:val="en-US" w:eastAsia="zh-CN"/>
              </w:rPr>
            </w:pPr>
          </w:p>
        </w:tc>
        <w:tc>
          <w:tcPr>
            <w:tcW w:w="34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法律意识提高</w:t>
            </w:r>
          </w:p>
          <w:p>
            <w:pPr>
              <w:spacing w:line="300" w:lineRule="exact"/>
              <w:jc w:val="left"/>
              <w:rPr>
                <w:rFonts w:hint="eastAsia" w:ascii="Times New Roman" w:hAnsi="Times New Roman" w:eastAsia="仿宋_GB2312" w:cs="Times New Roman"/>
                <w:lang w:val="en-US" w:eastAsia="zh-CN"/>
              </w:rPr>
            </w:pPr>
          </w:p>
        </w:tc>
        <w:tc>
          <w:tcPr>
            <w:tcW w:w="1836"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显著提高</w:t>
            </w:r>
          </w:p>
        </w:tc>
        <w:tc>
          <w:tcPr>
            <w:tcW w:w="29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2018年、2019年、2020年聘用法律顾问费用呈上升趋势。文件依据是根据历年安排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6" w:type="dxa"/>
            <w:vMerge w:val="continue"/>
            <w:shd w:val="clear" w:color="auto" w:fill="auto"/>
            <w:vAlign w:val="center"/>
          </w:tcPr>
          <w:p/>
        </w:tc>
        <w:tc>
          <w:tcPr>
            <w:tcW w:w="1824"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社会效益指标</w:t>
            </w:r>
          </w:p>
        </w:tc>
        <w:tc>
          <w:tcPr>
            <w:tcW w:w="217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隐患整改率</w:t>
            </w:r>
          </w:p>
          <w:p>
            <w:pPr>
              <w:spacing w:line="300" w:lineRule="exact"/>
              <w:jc w:val="left"/>
              <w:rPr>
                <w:rFonts w:hint="eastAsia" w:ascii="Times New Roman" w:hAnsi="Times New Roman" w:eastAsia="仿宋_GB2312" w:cs="Times New Roman"/>
                <w:lang w:val="en-US" w:eastAsia="zh-CN"/>
              </w:rPr>
            </w:pPr>
          </w:p>
        </w:tc>
        <w:tc>
          <w:tcPr>
            <w:tcW w:w="34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已整改隐患数占执法发现的隐患总数的比率</w:t>
            </w:r>
          </w:p>
        </w:tc>
        <w:tc>
          <w:tcPr>
            <w:tcW w:w="1836"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≥90百分比</w:t>
            </w:r>
          </w:p>
        </w:tc>
        <w:tc>
          <w:tcPr>
            <w:tcW w:w="29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24"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服务对象满意度指标</w:t>
            </w:r>
          </w:p>
        </w:tc>
        <w:tc>
          <w:tcPr>
            <w:tcW w:w="217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绩效考核内设机构目标完成情况评价档次较好级及以上比率</w:t>
            </w:r>
          </w:p>
          <w:p>
            <w:pPr>
              <w:spacing w:line="300" w:lineRule="exact"/>
              <w:jc w:val="left"/>
              <w:rPr>
                <w:rFonts w:hint="eastAsia" w:ascii="Times New Roman" w:hAnsi="Times New Roman" w:eastAsia="仿宋_GB2312" w:cs="Times New Roman"/>
                <w:lang w:val="en-US" w:eastAsia="zh-CN"/>
              </w:rPr>
            </w:pPr>
          </w:p>
        </w:tc>
        <w:tc>
          <w:tcPr>
            <w:tcW w:w="34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实际考核档次指标/计划考核档次指标</w:t>
            </w:r>
          </w:p>
        </w:tc>
        <w:tc>
          <w:tcPr>
            <w:tcW w:w="1836"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≥90百分比</w:t>
            </w:r>
          </w:p>
        </w:tc>
        <w:tc>
          <w:tcPr>
            <w:tcW w:w="293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市级机关内设机构目标任务完成情况评分标准</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2.博物馆免费开放经费绩效目标表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b/>
              </w:rPr>
            </w:pPr>
            <w:r>
              <w:rPr>
                <w:sz w:val="15"/>
                <w:szCs w:val="15"/>
              </w:rPr>
              <w:t>通过博物馆免费开放，使广大群众加深对博物馆的了解与认知，更加了解三河丰富的历史文化资源。通过博物馆免费开放，促使三河的历史文化得到传承。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工作人员数</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为参观群众提供服务、讲解人数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≥5人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博物馆工作人员情况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工作完成率</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为参观群众提供服务、讲解工作完成情况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博物馆条例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工作时间</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为参观群众提供服务、讲解工作时间</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1年</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博物馆条例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平均举行每场活动及培训所需成本</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平均举行每场活动及培训所需成本</w:t>
            </w:r>
          </w:p>
          <w:p>
            <w:pPr>
              <w:spacing w:line="300" w:lineRule="exact"/>
              <w:jc w:val="center"/>
              <w:rPr>
                <w:rFonts w:ascii="Times New Roman" w:hAnsi="Times New Roman" w:eastAsia="仿宋_GB2312" w:cs="Times New Roman"/>
              </w:rPr>
            </w:pP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3000元/每次</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传承三河历史文化</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反映传承三河历史文化的效果</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显著提升</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博物馆条例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群众满意度</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对参观群众进行服务满意度调查</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.传统文化进校园经费绩效目标表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b/>
              </w:rPr>
            </w:pPr>
            <w:r>
              <w:rPr>
                <w:sz w:val="15"/>
                <w:szCs w:val="15"/>
              </w:rPr>
              <w:t>通过戏曲进校园文化活动的开展，实现激发学生对优秀传统文化艺术的热爱</w:t>
            </w:r>
            <w:r>
              <w:rPr>
                <w:rFonts w:hint="eastAsia"/>
                <w:sz w:val="15"/>
                <w:szCs w:val="15"/>
                <w:lang w:eastAsia="zh-CN"/>
              </w:rPr>
              <w:t>。</w:t>
            </w:r>
            <w:r>
              <w:rPr>
                <w:sz w:val="15"/>
                <w:szCs w:val="15"/>
              </w:rPr>
              <w:t>通过戏曲进校园文化活动的开展，形成戏曲传承发展的浓厚氛围，提高学生的传统文化素养。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组织传统文化进校园文化活动场次</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组织传统文化进校园文化活动20场</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20场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中共廊坊市委宣传部廊宣字【2020】8号关于做好2020年“传统文化进校园”有关工作的通知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保障全年完成率</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保障全年完成100%</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回执单及照片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10月底完成</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10月底完成100%</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每场演出成本</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反映每场演出成本额</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0.9万元/每场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依据测算过程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4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提高学生的传统文化素养，做好戏曲文化宣传展示覆盖率%</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提高学生的传统文化素养，做好戏曲文化宣传展示覆盖率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≥85百分比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观众调查表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学生满意度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学生满意度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学生调查问卷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.会议中心管理经费绩效目标表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b/>
              </w:rPr>
            </w:pPr>
            <w:r>
              <w:rPr>
                <w:rFonts w:ascii="方正书宋_GBK" w:hAnsi="方正书宋_GBK" w:eastAsia="方正书宋_GBK" w:cs="方正书宋_GBK"/>
                <w:b w:val="0"/>
                <w:kern w:val="0"/>
                <w:sz w:val="15"/>
                <w:szCs w:val="15"/>
                <w:lang w:val="en-US" w:eastAsia="uk-UA" w:bidi="ar-SA"/>
              </w:rPr>
              <w:t>按照市委办公室的安排，配合会议主办方布置会场，负责相关设备的正常运行和维护，以优良的环境完成好每次会议</w:t>
            </w:r>
            <w:r>
              <w:rPr>
                <w:rFonts w:hint="eastAsia" w:cs="方正书宋_GBK"/>
                <w:b w:val="0"/>
                <w:kern w:val="0"/>
                <w:sz w:val="15"/>
                <w:szCs w:val="15"/>
                <w:lang w:val="en-US" w:eastAsia="zh-CN" w:bidi="ar-SA"/>
              </w:rPr>
              <w:t>。</w:t>
            </w:r>
            <w:r>
              <w:rPr>
                <w:rFonts w:ascii="方正书宋_GBK" w:hAnsi="方正书宋_GBK" w:eastAsia="方正书宋_GBK" w:cs="方正书宋_GBK"/>
                <w:b w:val="0"/>
                <w:kern w:val="0"/>
                <w:sz w:val="15"/>
                <w:szCs w:val="15"/>
                <w:lang w:val="en-US" w:eastAsia="uk-UA" w:bidi="ar-SA"/>
              </w:rPr>
              <w:t>通过会议中心管理委会，保障会议中心会务正常开展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需要维护的桌子椅子个数</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反映需要维护的座套的桌子椅子个数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≤400套</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三文体（2004）第1号    （附：孙书记、吴市长签字）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会议布置合格率</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反映会议布置的合格率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每次会议完成情况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会议布置的及时性</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反映会议布置的及时性</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及时</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会议登记表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维护每套桌子椅子所需成本</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反映维护每套桌子椅子所需成本</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历年工作安排及年度预算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4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确保市四大班子及相关部门每次会议圆满完成</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确保市四大班子及相关部门每次会议圆满完成</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及时圆满完成</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会议登记表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参会人员满意度</w:t>
            </w:r>
          </w:p>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参会人员满意度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≥90调查问卷</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.旅游宣传工作经费绩效目标表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41"/>
        <w:gridCol w:w="2388"/>
        <w:gridCol w:w="3326"/>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方正书宋_GBK" w:cs="Times New Roman"/>
                <w:b/>
                <w:lang w:eastAsia="zh-CN"/>
              </w:rPr>
            </w:pPr>
            <w:r>
              <w:rPr>
                <w:rFonts w:ascii="方正书宋_GBK" w:hAnsi="方正书宋_GBK" w:eastAsia="方正书宋_GBK" w:cs="方正书宋_GBK"/>
                <w:b w:val="0"/>
                <w:kern w:val="0"/>
                <w:sz w:val="15"/>
                <w:szCs w:val="15"/>
                <w:lang w:val="en-US" w:eastAsia="uk-UA" w:bidi="ar-SA"/>
              </w:rPr>
              <w:t>通过播种油菜花和制定旅游规划来吸引游客来我市旅游度假休闲，保障我市文旅产业稳步发展。通过开展旅游宣传工作，有效地宣传推介我市旅游资源和旅游产品，更好地宣传三河、展示三河、增强三河的知名度和美誉度，实现旅游收入和接待游客人数双增长，旅游消费升级将进一步拉动经济增长</w:t>
            </w:r>
            <w:r>
              <w:rPr>
                <w:rFonts w:hint="eastAsia" w:cs="方正书宋_GBK"/>
                <w:b w:val="0"/>
                <w:kern w:val="0"/>
                <w:sz w:val="15"/>
                <w:szCs w:val="15"/>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4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8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41"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播种油菜花面积</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反映油菜花播种面积情况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300亩</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941"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参加活动人数</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活动现场参与人数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≥1000人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941"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播种油菜花合格率</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播种油菜花合格率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941"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任务完成率</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反映任务完成情况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941"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按时完成</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反映完成全年工作任务所需时间</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≤12月</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941"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项目单位成本</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反映油菜花播种资金情况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500元/亩</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941"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项目单位成本</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反映聘请规划评审专家单位成本控制情况</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≤4000元/工日</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城市规划设计计费指导意见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0"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4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提高三河旅游知名度</w:t>
            </w: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改善旅游环境促进三河文旅事业发展</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有效促进</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7"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94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可持续影响指标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规划成果对三河旅游未来发展产生持续影响</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通过对发展规划的执行对三河旅游未来发展产生持续影响</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1年</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4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社会公众满意度</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现场参与人员对活动的满意程度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.农村公益电影放映地方配套经费绩效目标表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41"/>
        <w:gridCol w:w="2388"/>
        <w:gridCol w:w="3326"/>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方正书宋_GBK" w:cs="Times New Roman"/>
                <w:b/>
                <w:lang w:eastAsia="zh-CN"/>
              </w:rPr>
            </w:pPr>
            <w:r>
              <w:rPr>
                <w:rFonts w:ascii="方正书宋_GBK" w:hAnsi="方正书宋_GBK" w:eastAsia="方正书宋_GBK" w:cs="方正书宋_GBK"/>
                <w:b w:val="0"/>
                <w:kern w:val="0"/>
                <w:sz w:val="15"/>
                <w:szCs w:val="15"/>
                <w:lang w:val="en-US" w:eastAsia="uk-UA" w:bidi="ar-SA"/>
              </w:rPr>
              <w:t>通过宣放映公益电影，宣传党的路线、方针、政策，普及推广爱国主义教育和科普常识教育；在寓教于乐的基础上，推动农村文化建设</w:t>
            </w:r>
            <w:r>
              <w:rPr>
                <w:rFonts w:hint="eastAsia" w:ascii="方正书宋_GBK" w:hAnsi="方正书宋_GBK" w:eastAsia="方正书宋_GBK" w:cs="方正书宋_GBK"/>
                <w:b w:val="0"/>
                <w:kern w:val="0"/>
                <w:sz w:val="15"/>
                <w:szCs w:val="15"/>
                <w:lang w:val="en-US" w:eastAsia="zh-CN" w:bidi="ar-SA"/>
              </w:rPr>
              <w:t>。</w:t>
            </w:r>
            <w:r>
              <w:rPr>
                <w:rFonts w:ascii="方正书宋_GBK" w:hAnsi="方正书宋_GBK" w:eastAsia="方正书宋_GBK" w:cs="方正书宋_GBK"/>
                <w:b w:val="0"/>
                <w:kern w:val="0"/>
                <w:sz w:val="15"/>
                <w:szCs w:val="15"/>
                <w:lang w:val="en-US" w:eastAsia="uk-UA" w:bidi="ar-SA"/>
              </w:rPr>
              <w:t>通过宣放映公益电影，在寓教于乐的基础上，推动农村文化建设</w:t>
            </w:r>
            <w:r>
              <w:rPr>
                <w:rFonts w:hint="eastAsia" w:cs="方正书宋_GBK"/>
                <w:b w:val="0"/>
                <w:kern w:val="0"/>
                <w:sz w:val="15"/>
                <w:szCs w:val="15"/>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94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8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941"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组织农村公益电影放映活动场次</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组织农村公益电影放映活动4740场</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4740场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廊文字（2012）13号、冀财教[2014]254号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941"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保障全年完成率</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保障全年完成100%</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放映实施计划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941"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全年1-12月完成</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全年1-12月完成</w:t>
            </w:r>
          </w:p>
          <w:p>
            <w:pPr>
              <w:spacing w:line="300" w:lineRule="exact"/>
              <w:jc w:val="center"/>
              <w:rPr>
                <w:rFonts w:ascii="Times New Roman" w:hAnsi="Times New Roman" w:eastAsia="仿宋_GB2312" w:cs="Times New Roman"/>
              </w:rPr>
            </w:pP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1年</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放映回执单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941"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每台数字放映机维修、养护成本</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每台数字放映机维修、养护成本</w:t>
            </w:r>
          </w:p>
          <w:p>
            <w:pPr>
              <w:spacing w:line="300" w:lineRule="exact"/>
              <w:jc w:val="center"/>
              <w:rPr>
                <w:rFonts w:ascii="Times New Roman" w:hAnsi="Times New Roman" w:eastAsia="仿宋_GB2312" w:cs="Times New Roman"/>
              </w:rPr>
            </w:pP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3500元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2022年预算安排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941"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每场电影放映成本</w:t>
            </w: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每场电影放映成本</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2022年预算安排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0"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94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普及推广爱国主义教育和科普常识教育</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普及推广爱国主义教育和科普常识教育覆盖率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放映回执单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94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23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观众满意度</w:t>
            </w:r>
          </w:p>
          <w:p>
            <w:pPr>
              <w:spacing w:line="300" w:lineRule="exact"/>
              <w:jc w:val="center"/>
              <w:rPr>
                <w:rFonts w:ascii="Times New Roman" w:hAnsi="Times New Roman" w:eastAsia="仿宋_GB2312" w:cs="Times New Roman"/>
              </w:rPr>
            </w:pPr>
          </w:p>
        </w:tc>
        <w:tc>
          <w:tcPr>
            <w:tcW w:w="332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观众满意度</w:t>
            </w:r>
          </w:p>
          <w:p>
            <w:pPr>
              <w:spacing w:line="300" w:lineRule="exact"/>
              <w:jc w:val="center"/>
              <w:rPr>
                <w:rFonts w:ascii="Times New Roman" w:hAnsi="Times New Roman" w:eastAsia="仿宋_GB2312" w:cs="Times New Roman"/>
              </w:rPr>
            </w:pP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.文化惠民活动经费套经费绩效目标表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97"/>
        <w:gridCol w:w="2568"/>
        <w:gridCol w:w="3144"/>
        <w:gridCol w:w="1644"/>
        <w:gridCol w:w="2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方正书宋_GBK" w:cs="Times New Roman"/>
                <w:b/>
                <w:lang w:eastAsia="zh-CN"/>
              </w:rPr>
            </w:pPr>
            <w:r>
              <w:rPr>
                <w:rFonts w:ascii="方正书宋_GBK" w:hAnsi="方正书宋_GBK" w:eastAsia="方正书宋_GBK" w:cs="方正书宋_GBK"/>
                <w:b w:val="0"/>
                <w:kern w:val="0"/>
                <w:sz w:val="15"/>
                <w:szCs w:val="15"/>
                <w:lang w:val="en-US" w:eastAsia="uk-UA" w:bidi="ar-SA"/>
              </w:rPr>
              <w:t>通过开展此项文化惠民演出活动，讴歌伟大的党、伟大的祖国、伟大的中国梦和美丽的三河</w:t>
            </w:r>
            <w:r>
              <w:rPr>
                <w:rFonts w:hint="eastAsia" w:ascii="方正书宋_GBK" w:hAnsi="方正书宋_GBK" w:eastAsia="方正书宋_GBK" w:cs="方正书宋_GBK"/>
                <w:b w:val="0"/>
                <w:kern w:val="0"/>
                <w:sz w:val="15"/>
                <w:szCs w:val="15"/>
                <w:lang w:val="en-US" w:eastAsia="zh-CN" w:bidi="ar-SA"/>
              </w:rPr>
              <w:t>。</w:t>
            </w:r>
            <w:r>
              <w:rPr>
                <w:rFonts w:ascii="方正书宋_GBK" w:hAnsi="方正书宋_GBK" w:eastAsia="方正书宋_GBK" w:cs="方正书宋_GBK"/>
                <w:b w:val="0"/>
                <w:kern w:val="0"/>
                <w:sz w:val="15"/>
                <w:szCs w:val="15"/>
                <w:lang w:val="en-US" w:eastAsia="uk-UA" w:bidi="ar-SA"/>
              </w:rPr>
              <w:t>通过开展此项文化惠民演出活动，活跃全市人民的文化生活并达到国家公共文化服务体系示范区的总体要求，顺利通过示范区复检工作。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5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送公益文化惠民活动场次</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送公益文化惠民活动350场</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350场</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sz w:val="18"/>
                <w:szCs w:val="18"/>
              </w:rPr>
              <w:t>中共廊坊市委廊发【2014】7号《关于创建国家公共文化服务体系示范区的实施意见》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保障全年完成率</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保障全年完成100%</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回执单及照片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全年1-12月完成</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全年1-12月完成100%</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每场演出成本</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反映每场演出成本额</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≤0.97万元/每场</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依据测算过程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提高观众的传统文化素养，做好戏曲文化宣传展示覆盖率%</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提高观众的传统文化素养，做好戏曲文化宣传展示覆盖率100%</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≥85百分比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观众调查表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群众满意度%</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群众满意度百分比</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.文化中心物业管理和正常运转经费绩效目标表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97"/>
        <w:gridCol w:w="2568"/>
        <w:gridCol w:w="3144"/>
        <w:gridCol w:w="1644"/>
        <w:gridCol w:w="2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方正书宋_GBK" w:cs="Times New Roman"/>
                <w:b/>
                <w:lang w:eastAsia="zh-CN"/>
              </w:rPr>
            </w:pPr>
            <w:r>
              <w:rPr>
                <w:rFonts w:ascii="方正书宋_GBK" w:hAnsi="方正书宋_GBK" w:eastAsia="方正书宋_GBK" w:cs="方正书宋_GBK"/>
                <w:b w:val="0"/>
                <w:kern w:val="0"/>
                <w:sz w:val="15"/>
                <w:szCs w:val="15"/>
                <w:lang w:val="en-US" w:eastAsia="uk-UA" w:bidi="ar-SA"/>
              </w:rPr>
              <w:t>通过项目的开展，保证文化中心达到正常运转效果。依据采购合同，实现满足人民对美好生活的需求的目标</w:t>
            </w:r>
            <w:r>
              <w:rPr>
                <w:rFonts w:hint="eastAsia" w:ascii="方正书宋_GBK" w:hAnsi="方正书宋_GBK" w:eastAsia="方正书宋_GBK" w:cs="方正书宋_GBK"/>
                <w:b w:val="0"/>
                <w:kern w:val="0"/>
                <w:sz w:val="15"/>
                <w:szCs w:val="15"/>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5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基础设施物业管理面积</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基础设施物业管理涉及的面积</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128亩</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招标合同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实际完成配套设施量</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实际完成配套设施量占计划完成配套设施量</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招标合同、供暖合同及实际发生费用发票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工程完工及时率</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考察工程完工时间</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及时完成</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招标合同和供暖合同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成本控制</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物业成本平均控制额</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≤112.84元/平米</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通过维护改造，消除安全隐患情况</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通过维护改造，消除安全隐患情况</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招标合同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受益群体调查中，满意和较满意的人数占全部调查人数的比率</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≥95百分比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.镇级综合文体中心活动运转经费绩效目标表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97"/>
        <w:gridCol w:w="2568"/>
        <w:gridCol w:w="3144"/>
        <w:gridCol w:w="1644"/>
        <w:gridCol w:w="2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方正书宋_GBK" w:cs="Times New Roman"/>
                <w:b/>
                <w:lang w:eastAsia="zh-CN"/>
              </w:rPr>
            </w:pPr>
            <w:r>
              <w:rPr>
                <w:rFonts w:ascii="方正书宋_GBK" w:hAnsi="方正书宋_GBK" w:eastAsia="方正书宋_GBK" w:cs="方正书宋_GBK"/>
                <w:b w:val="0"/>
                <w:kern w:val="0"/>
                <w:sz w:val="15"/>
                <w:szCs w:val="15"/>
                <w:lang w:val="en-US" w:eastAsia="uk-UA" w:bidi="ar-SA"/>
              </w:rPr>
              <w:t>通过项目的经费支出，保障文体中心正常运转，正常开放。通过项目的经费支出，满足各镇人民对中西设施使用的需要，丰富各镇人民的业务文化生活。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5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开放天数</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全年正常开放天数</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≥350天</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全年开放天数统计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中心正常运转率</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中心正常运转率</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全年正常开放天数统计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经费支出时效</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反映经费支出时效及时性</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及时支出</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经费支出进度制定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每个镇活动经费成本</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每个镇活动经费成本多少</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4万元</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2022年预算安排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保障中心正常运转</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保障中心正常运转</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正常运转</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中心运转天数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到中心活动人群满意度</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到中心参与活动人数满意率</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.综合管理经费</w:t>
      </w:r>
      <w:r>
        <w:rPr>
          <w:rFonts w:hint="eastAsia" w:ascii="Times New Roman" w:hAnsi="Times New Roman" w:eastAsia="仿宋_GB2312" w:cs="Times New Roman"/>
          <w:sz w:val="28"/>
          <w:lang w:eastAsia="zh-CN"/>
        </w:rPr>
        <w:t>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97"/>
        <w:gridCol w:w="2568"/>
        <w:gridCol w:w="3144"/>
        <w:gridCol w:w="1644"/>
        <w:gridCol w:w="2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方正书宋_GBK" w:cs="Times New Roman"/>
                <w:b/>
                <w:lang w:eastAsia="zh-CN"/>
              </w:rPr>
            </w:pPr>
            <w:r>
              <w:rPr>
                <w:rFonts w:ascii="方正书宋_GBK" w:hAnsi="方正书宋_GBK" w:eastAsia="方正书宋_GBK" w:cs="方正书宋_GBK"/>
                <w:b w:val="0"/>
                <w:kern w:val="0"/>
                <w:sz w:val="15"/>
                <w:szCs w:val="15"/>
                <w:lang w:val="en-US" w:eastAsia="uk-UA" w:bidi="ar-SA"/>
              </w:rPr>
              <w:t>通过人员经费的支出，保障中心活动的正常开展，达到丰富群众业余文化生活，提高市民幸福感的效果</w:t>
            </w:r>
            <w:r>
              <w:rPr>
                <w:rFonts w:hint="eastAsia" w:ascii="方正书宋_GBK" w:hAnsi="方正书宋_GBK" w:eastAsia="方正书宋_GBK" w:cs="方正书宋_GBK"/>
                <w:b w:val="0"/>
                <w:kern w:val="0"/>
                <w:sz w:val="15"/>
                <w:szCs w:val="15"/>
                <w:lang w:val="en-US" w:eastAsia="zh-CN" w:bidi="ar-SA"/>
              </w:rPr>
              <w:t>。</w:t>
            </w:r>
            <w:r>
              <w:rPr>
                <w:rFonts w:ascii="方正书宋_GBK" w:hAnsi="方正书宋_GBK" w:eastAsia="方正书宋_GBK" w:cs="方正书宋_GBK"/>
                <w:b w:val="0"/>
                <w:kern w:val="0"/>
                <w:sz w:val="15"/>
                <w:szCs w:val="15"/>
                <w:lang w:val="en-US" w:eastAsia="uk-UA" w:bidi="ar-SA"/>
              </w:rPr>
              <w:t>通过人员经费的支出，保障中心人员正常管理。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5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工资发放人数</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考察工资发放人数情况</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17人</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三文广电字（2013）48号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资金发放合格率</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符合人员发放标准合格率</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资金发放及时率</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反映资金发放及时情况</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及时</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人员月工资标准</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反映人员月工资标准</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3.56万元</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2022年预算编制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保障工作正常运转</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反映文体中心工作正常运转情况</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正常有序运转</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根据历年预算安排及问题中心实际情况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中心人员满意度</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中心人员满意度</w:t>
            </w:r>
          </w:p>
          <w:p>
            <w:pPr>
              <w:spacing w:line="300" w:lineRule="exact"/>
              <w:jc w:val="center"/>
              <w:rPr>
                <w:rFonts w:ascii="Times New Roman" w:hAnsi="Times New Roman" w:eastAsia="仿宋_GB2312" w:cs="Times New Roman"/>
              </w:rPr>
            </w:pP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中心人员调查问卷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.编制《三河市全域旅游发展规划》</w:t>
      </w:r>
      <w:r>
        <w:rPr>
          <w:rFonts w:hint="eastAsia" w:ascii="Times New Roman" w:hAnsi="Times New Roman" w:eastAsia="仿宋_GB2312" w:cs="Times New Roman"/>
          <w:sz w:val="28"/>
          <w:lang w:eastAsia="zh-CN"/>
        </w:rPr>
        <w:t>经费绩效</w:t>
      </w:r>
      <w:r>
        <w:rPr>
          <w:rFonts w:ascii="Times New Roman" w:hAnsi="Times New Roman" w:eastAsia="仿宋_GB2312" w:cs="Times New Roman"/>
          <w:sz w:val="28"/>
        </w:rPr>
        <w:t>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97"/>
        <w:gridCol w:w="2568"/>
        <w:gridCol w:w="3144"/>
        <w:gridCol w:w="1644"/>
        <w:gridCol w:w="2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方正书宋_GBK" w:cs="Times New Roman"/>
                <w:b/>
                <w:lang w:eastAsia="zh-CN"/>
              </w:rPr>
            </w:pPr>
            <w:r>
              <w:rPr>
                <w:rFonts w:ascii="方正书宋_GBK" w:hAnsi="方正书宋_GBK" w:eastAsia="方正书宋_GBK" w:cs="方正书宋_GBK"/>
                <w:b w:val="0"/>
                <w:kern w:val="0"/>
                <w:sz w:val="15"/>
                <w:szCs w:val="15"/>
                <w:lang w:val="en-US" w:eastAsia="uk-UA" w:bidi="ar-SA"/>
              </w:rPr>
              <w:t>通过全域旅游规划的编制，达到促进全市旅游资源发展的目标。推介全市旅游资源，促进全市旅游产业稳步发展。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5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编制规划个数</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反映编制规划的个数</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1个</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《关于印发&lt;三河市城乡总体规划修编工作的指导意见&gt;的通知》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编制规划的内容合格率</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反映编制规划的内容合格情况</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编制规划完成的及时性</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反映编制规划完成的及时情况</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及时完成</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《关于印发&lt;三河市城乡总体规划修编工作的指导意见&gt;的通知》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编制规划的平均成本</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反映编制规划的平均成本（万元/个）</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23万元/个</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《关于印发&lt;三河市城乡总体规划修编工作的指导意见&gt;的通知》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编制规划促进全市旅游的发展</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反映编制规划促进全市旅游稳步发展的情况</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稳步提升</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《关于印发&lt;三河市城乡总体规划修编工作的指导意见&gt;的通知》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市民满意度</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中心人员满意度</w:t>
            </w:r>
          </w:p>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反映编制规划促进全市旅游发展带来的群众满意度情况</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调查问卷</w:t>
            </w:r>
          </w:p>
        </w:tc>
      </w:tr>
    </w:tbl>
    <w:p>
      <w:pPr>
        <w:spacing w:line="300" w:lineRule="exact"/>
        <w:jc w:val="center"/>
        <w:rPr>
          <w:rFonts w:hint="default" w:ascii="Times New Roman" w:hAnsi="Times New Roman" w:eastAsia="仿宋_GB2312" w:cs="Times New Roman"/>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12</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编制《三河市文化产业和设施布局总体规划》经费绩效</w:t>
      </w:r>
      <w:r>
        <w:rPr>
          <w:rFonts w:ascii="Times New Roman" w:hAnsi="Times New Roman" w:eastAsia="仿宋_GB2312" w:cs="Times New Roman"/>
          <w:sz w:val="28"/>
        </w:rPr>
        <w:t>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97"/>
        <w:gridCol w:w="2568"/>
        <w:gridCol w:w="3144"/>
        <w:gridCol w:w="1644"/>
        <w:gridCol w:w="2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方正书宋_GBK" w:cs="Times New Roman"/>
                <w:b/>
                <w:lang w:eastAsia="zh-CN"/>
              </w:rPr>
            </w:pPr>
            <w:r>
              <w:rPr>
                <w:rFonts w:ascii="方正书宋_GBK" w:hAnsi="方正书宋_GBK" w:eastAsia="方正书宋_GBK" w:cs="方正书宋_GBK"/>
                <w:b w:val="0"/>
                <w:kern w:val="0"/>
                <w:sz w:val="15"/>
                <w:szCs w:val="15"/>
                <w:lang w:val="en-US" w:eastAsia="uk-UA" w:bidi="ar-SA"/>
              </w:rPr>
              <w:t>通过编制文化产业发展，达到弘扬三河文化精神的效果。通过编制文化产业发展，打造三河文化名片、更好的宣传推介三河文化。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5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编制规划数量</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反映编制规划的个数</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1个</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《关于印发&lt;三河市城乡总体规划修编工作的指导意见&gt;的通知》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编制规划内容合格率</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反映编制规划内容的合格情况</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编制完成时间</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反映编制规划完成时效</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及时完成</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《关于印发&lt;三河市城乡总体规划修编工作的指导意见&gt;的通知》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编制规划平均成本</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反映编制规划的平均成本（万元/个）</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23万元/个</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《关于印发&lt;三河市城乡总体规划修编工作的指导意见&gt;的通知》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促进全市文化发展稳步提升</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反映编制规划带来的全市文化发展提升水平</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稳步提升</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《关于印发&lt;三河市城乡总体规划修编工作的指导意见&gt;的通知》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市民满意度</w:t>
            </w:r>
          </w:p>
          <w:p>
            <w:pPr>
              <w:spacing w:line="300" w:lineRule="exact"/>
              <w:jc w:val="center"/>
              <w:rPr>
                <w:rFonts w:ascii="Times New Roman" w:hAnsi="Times New Roman" w:eastAsia="仿宋_GB2312" w:cs="Times New Roman"/>
              </w:rPr>
            </w:pP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文化产业规划促进文化发展带来的市民满意情况</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w:t>
      </w:r>
      <w:r>
        <w:rPr>
          <w:rFonts w:ascii="Times New Roman" w:hAnsi="Times New Roman" w:eastAsia="仿宋_GB2312" w:cs="Times New Roman"/>
          <w:sz w:val="28"/>
        </w:rPr>
        <w:t>.</w:t>
      </w:r>
      <w:r>
        <w:rPr>
          <w:rFonts w:hint="eastAsia" w:ascii="Times New Roman" w:hAnsi="Times New Roman" w:eastAsia="仿宋_GB2312" w:cs="Times New Roman"/>
          <w:sz w:val="28"/>
          <w:lang w:eastAsia="zh-CN"/>
        </w:rPr>
        <w:t>公共文化服务体系建设经费绩效</w:t>
      </w:r>
      <w:r>
        <w:rPr>
          <w:rFonts w:ascii="Times New Roman" w:hAnsi="Times New Roman" w:eastAsia="仿宋_GB2312" w:cs="Times New Roman"/>
          <w:sz w:val="28"/>
        </w:rPr>
        <w:t>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97"/>
        <w:gridCol w:w="2568"/>
        <w:gridCol w:w="3144"/>
        <w:gridCol w:w="1644"/>
        <w:gridCol w:w="2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方正书宋_GBK" w:cs="Times New Roman"/>
                <w:b/>
                <w:lang w:eastAsia="zh-CN"/>
              </w:rPr>
            </w:pPr>
            <w:r>
              <w:rPr>
                <w:rFonts w:ascii="方正书宋_GBK" w:hAnsi="方正书宋_GBK" w:eastAsia="方正书宋_GBK" w:cs="方正书宋_GBK"/>
                <w:b w:val="0"/>
                <w:kern w:val="0"/>
                <w:sz w:val="15"/>
                <w:szCs w:val="15"/>
                <w:lang w:val="en-US" w:eastAsia="uk-UA" w:bidi="ar-SA"/>
              </w:rPr>
              <w:t>通过补助资金的及时发放，保障农村公益电影放映工作的正常开展。通过补助资金的及时发放，保障群众观看电影的公益权益。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5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补助农村公益电影放映场次</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反映补助资金补助的农村公益电影放映场次</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4740场</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补助资金发放合格率</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反映补助资金发放的合格率</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补助资金到位及时性</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反映补助资金到位及时性</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及时</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每场电影放映补助资金</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反映平均每场电影放映补助资金</w:t>
            </w: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≤15元</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社会效益指标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促进农村公益电影放映稳步发展</w:t>
            </w: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促进农村公益电影放映稳步发展</w:t>
            </w:r>
          </w:p>
          <w:p>
            <w:pPr>
              <w:spacing w:line="300" w:lineRule="exact"/>
              <w:jc w:val="center"/>
              <w:rPr>
                <w:rFonts w:ascii="Times New Roman" w:hAnsi="Times New Roman" w:eastAsia="仿宋_GB2312" w:cs="Times New Roman"/>
              </w:rPr>
            </w:pP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稳步发展</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服务对象满意度指标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受益群众满意度</w:t>
            </w:r>
          </w:p>
          <w:p>
            <w:pPr>
              <w:spacing w:line="300" w:lineRule="exact"/>
              <w:jc w:val="center"/>
              <w:rPr>
                <w:rFonts w:ascii="Times New Roman" w:hAnsi="Times New Roman" w:eastAsia="仿宋_GB2312" w:cs="Times New Roman"/>
              </w:rPr>
            </w:pPr>
          </w:p>
          <w:p>
            <w:pPr>
              <w:spacing w:line="300" w:lineRule="exact"/>
              <w:jc w:val="center"/>
              <w:rPr>
                <w:rFonts w:ascii="Times New Roman" w:hAnsi="Times New Roman" w:eastAsia="仿宋_GB2312" w:cs="Times New Roma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受益群众满意度</w:t>
            </w:r>
          </w:p>
          <w:p>
            <w:pPr>
              <w:spacing w:line="300" w:lineRule="exact"/>
              <w:jc w:val="center"/>
              <w:rPr>
                <w:rFonts w:ascii="Times New Roman" w:hAnsi="Times New Roman" w:eastAsia="仿宋_GB2312" w:cs="Times New Roman"/>
              </w:rPr>
            </w:pPr>
          </w:p>
        </w:tc>
        <w:tc>
          <w:tcPr>
            <w:tcW w:w="16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≥90百分比</w:t>
            </w:r>
          </w:p>
        </w:tc>
        <w:tc>
          <w:tcPr>
            <w:tcW w:w="280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调查问卷</w:t>
            </w:r>
          </w:p>
        </w:tc>
      </w:tr>
    </w:tbl>
    <w:p>
      <w:pPr>
        <w:spacing w:line="300" w:lineRule="exact"/>
        <w:jc w:val="center"/>
        <w:rPr>
          <w:rFonts w:ascii="Times New Roman" w:hAnsi="Times New Roman" w:eastAsia="仿宋_GB2312" w:cs="Times New Roman"/>
        </w:rPr>
      </w:pPr>
    </w:p>
    <w:p>
      <w:pPr>
        <w:ind w:firstLine="42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lang w:eastAsia="zh-CN"/>
        </w:rPr>
        <w:tab/>
      </w:r>
      <w:r>
        <w:rPr>
          <w:rFonts w:hint="eastAsia" w:ascii="Times New Roman" w:hAnsi="Times New Roman" w:eastAsia="仿宋_GB2312" w:cs="Times New Roman"/>
          <w:sz w:val="28"/>
          <w:lang w:val="en-US" w:eastAsia="zh-CN"/>
        </w:rPr>
        <w:t>14</w:t>
      </w:r>
      <w:r>
        <w:rPr>
          <w:rFonts w:hint="eastAsia" w:ascii="Times New Roman" w:hAnsi="Times New Roman" w:eastAsia="仿宋_GB2312" w:cs="Times New Roman"/>
          <w:sz w:val="28"/>
          <w:lang w:eastAsia="zh-CN"/>
        </w:rPr>
        <w:t>.基层三馆一站免费开放运行保障经费绩效</w:t>
      </w:r>
      <w:r>
        <w:rPr>
          <w:rFonts w:ascii="Times New Roman" w:hAnsi="Times New Roman" w:eastAsia="仿宋_GB2312" w:cs="Times New Roman"/>
          <w:sz w:val="28"/>
        </w:rPr>
        <w:t>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97"/>
        <w:gridCol w:w="2568"/>
        <w:gridCol w:w="3144"/>
        <w:gridCol w:w="1644"/>
        <w:gridCol w:w="2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方正书宋_GBK" w:cs="Times New Roman"/>
                <w:b/>
                <w:lang w:eastAsia="zh-CN"/>
              </w:rPr>
            </w:pPr>
            <w:r>
              <w:rPr>
                <w:rFonts w:ascii="方正书宋_GBK" w:hAnsi="方正书宋_GBK" w:eastAsia="方正书宋_GBK" w:cs="方正书宋_GBK"/>
                <w:b w:val="0"/>
                <w:kern w:val="0"/>
                <w:sz w:val="15"/>
                <w:szCs w:val="15"/>
                <w:lang w:val="en-US" w:eastAsia="uk-UA" w:bidi="ar-SA"/>
              </w:rPr>
              <w:t>通过免费开放专项资金的支持，保障图书馆、文化馆、文化站全部免费项社会公共开展基本公共文化服务</w:t>
            </w:r>
            <w:r>
              <w:rPr>
                <w:rFonts w:hint="eastAsia" w:ascii="方正书宋_GBK" w:hAnsi="方正书宋_GBK" w:eastAsia="方正书宋_GBK" w:cs="方正书宋_GBK"/>
                <w:b w:val="0"/>
                <w:kern w:val="0"/>
                <w:sz w:val="15"/>
                <w:szCs w:val="15"/>
                <w:lang w:val="en-US" w:eastAsia="zh-CN" w:bidi="ar-SA"/>
              </w:rPr>
              <w:t>。</w:t>
            </w:r>
            <w:r>
              <w:rPr>
                <w:rFonts w:ascii="方正书宋_GBK" w:hAnsi="方正书宋_GBK" w:eastAsia="方正书宋_GBK" w:cs="方正书宋_GBK"/>
                <w:b w:val="0"/>
                <w:kern w:val="0"/>
                <w:sz w:val="15"/>
                <w:szCs w:val="15"/>
                <w:lang w:val="en-US" w:eastAsia="uk-UA" w:bidi="ar-SA"/>
              </w:rPr>
              <w:t>通过免费开放专项资金的支持，促进地方公共文化服务体系建设。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56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补助资金补助场馆数量</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反映补助资金补助场馆数量</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12个</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冀财教（2021）155号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568" w:type="dxa"/>
            <w:shd w:val="clear" w:color="auto" w:fill="auto"/>
            <w:vAlign w:val="bottom"/>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补助资金发放合格率</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反映补助资金发放合规情况</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100百分比</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冀财教（2021）155号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568" w:type="dxa"/>
            <w:shd w:val="clear" w:color="auto" w:fill="auto"/>
            <w:vAlign w:val="bottom"/>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补助资金发放及时性</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反映补助资金发放及时情况</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冀财教（2021）155号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568" w:type="dxa"/>
            <w:shd w:val="clear" w:color="auto" w:fill="auto"/>
            <w:vAlign w:val="bottom"/>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平均每个文化站补助资金成本</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反映每个文化站补助资金成本</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0.5万元</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冀财教（2021）155号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2568" w:type="dxa"/>
            <w:shd w:val="clear" w:color="auto" w:fill="auto"/>
            <w:vAlign w:val="bottom"/>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免费开放水平稳步提升</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反映文化禅观免费开放水平提升情况</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稳步提升</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冀财教（2021）155号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服务对象满意度指标</w:t>
            </w:r>
          </w:p>
        </w:tc>
        <w:tc>
          <w:tcPr>
            <w:tcW w:w="2568" w:type="dxa"/>
            <w:shd w:val="clear" w:color="auto" w:fill="auto"/>
            <w:vAlign w:val="bottom"/>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受益群众满意度</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受益群众满意度</w:t>
            </w:r>
          </w:p>
          <w:p>
            <w:pPr>
              <w:spacing w:line="300" w:lineRule="exact"/>
              <w:jc w:val="center"/>
              <w:rPr>
                <w:rFonts w:hint="eastAsia" w:ascii="Times New Roman" w:hAnsi="Times New Roman" w:eastAsia="仿宋_GB2312" w:cs="Times New Roman"/>
                <w:lang w:eastAsia="zh-CN"/>
              </w:rPr>
            </w:pP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≥90百分比</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群众调查问卷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hint="eastAsia" w:ascii="Times New Roman" w:hAnsi="Times New Roman" w:eastAsia="仿宋_GB2312" w:cs="Times New Roman"/>
          <w:sz w:val="28"/>
          <w:lang w:eastAsia="zh-CN"/>
        </w:rPr>
        <w:t>.中央-美术馆、公共图书馆、文化馆（站）免费开放补助资金绩效</w:t>
      </w:r>
      <w:r>
        <w:rPr>
          <w:rFonts w:ascii="Times New Roman" w:hAnsi="Times New Roman" w:eastAsia="仿宋_GB2312" w:cs="Times New Roman"/>
          <w:sz w:val="28"/>
        </w:rPr>
        <w:t>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97"/>
        <w:gridCol w:w="2568"/>
        <w:gridCol w:w="3144"/>
        <w:gridCol w:w="1644"/>
        <w:gridCol w:w="2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方正书宋_GBK" w:cs="Times New Roman"/>
                <w:b/>
                <w:lang w:eastAsia="zh-CN"/>
              </w:rPr>
            </w:pPr>
            <w:r>
              <w:rPr>
                <w:rFonts w:ascii="方正书宋_GBK" w:hAnsi="方正书宋_GBK" w:eastAsia="方正书宋_GBK" w:cs="方正书宋_GBK"/>
                <w:b w:val="0"/>
                <w:kern w:val="0"/>
                <w:sz w:val="15"/>
                <w:szCs w:val="15"/>
                <w:lang w:val="en-US" w:eastAsia="uk-UA" w:bidi="ar-SA"/>
              </w:rPr>
              <w:t>通过补助资金的使用，达到促进图书馆、文化馆、文化站正常使用的目的。通过补助资金的使用，促进图书馆、文化馆、文化站免费开放水平提升。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568"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补助的公共场馆个数</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反映补助资金补助的公共场馆个数</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12个</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冀财教（2021）141号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568" w:type="dxa"/>
            <w:shd w:val="clear" w:color="auto" w:fill="auto"/>
            <w:vAlign w:val="bottom"/>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补助资金发放合格率</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反映补助资金发放合格率</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100百分比</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冀财教（2021）141号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568" w:type="dxa"/>
            <w:shd w:val="clear" w:color="auto" w:fill="auto"/>
            <w:vAlign w:val="bottom"/>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补助资金发放的及时性</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反映补助资金发放的时间及时性</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及时</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冀财教（2021）141号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568" w:type="dxa"/>
            <w:shd w:val="clear" w:color="auto" w:fill="auto"/>
            <w:vAlign w:val="bottom"/>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每个文化站补助资金</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反映每个文化站的补助资金情况</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3万元/个</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冀财教（2021）141号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568" w:type="dxa"/>
            <w:shd w:val="clear" w:color="auto" w:fill="auto"/>
            <w:vAlign w:val="bottom"/>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每个文化场馆补助资金</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反映两个文化场馆平均每个文化场馆补助资金</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12万元/个</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冀财教（2021）141号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2568" w:type="dxa"/>
            <w:shd w:val="clear" w:color="auto" w:fill="auto"/>
            <w:vAlign w:val="bottom"/>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免费开放场馆水平提升</w:t>
            </w:r>
          </w:p>
          <w:p>
            <w:pPr>
              <w:spacing w:line="300" w:lineRule="exact"/>
              <w:jc w:val="center"/>
              <w:rPr>
                <w:rFonts w:hint="eastAsia" w:ascii="Times New Roman" w:hAnsi="Times New Roman" w:eastAsia="仿宋_GB2312" w:cs="Times New Roman"/>
                <w:lang w:eastAsia="zh-CN"/>
              </w:rPr>
            </w:pP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反映免费开放场馆服务水平稳步提升情况</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稳步提升</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冀财教（2021）141号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服务对象满意度指标</w:t>
            </w:r>
          </w:p>
        </w:tc>
        <w:tc>
          <w:tcPr>
            <w:tcW w:w="2568" w:type="dxa"/>
            <w:shd w:val="clear" w:color="auto" w:fill="auto"/>
            <w:vAlign w:val="bottom"/>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受益群众对免费开放场馆满意度</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受益群众对免费开放场馆满意度</w:t>
            </w:r>
          </w:p>
          <w:p>
            <w:pPr>
              <w:spacing w:line="300" w:lineRule="exact"/>
              <w:jc w:val="center"/>
              <w:rPr>
                <w:rFonts w:hint="eastAsia" w:ascii="Times New Roman" w:hAnsi="Times New Roman" w:eastAsia="仿宋_GB2312" w:cs="Times New Roman"/>
                <w:lang w:eastAsia="zh-CN"/>
              </w:rPr>
            </w:pP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≥90百分比</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调查问卷</w:t>
            </w:r>
          </w:p>
        </w:tc>
      </w:tr>
    </w:tbl>
    <w:p>
      <w:pPr>
        <w:tabs>
          <w:tab w:val="left" w:pos="698"/>
        </w:tabs>
        <w:spacing w:line="300" w:lineRule="exact"/>
        <w:jc w:val="left"/>
        <w:rPr>
          <w:rFonts w:hint="eastAsia" w:ascii="Times New Roman" w:hAnsi="Times New Roman" w:eastAsia="仿宋_GB2312" w:cs="Times New Roman"/>
          <w:lang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16</w:t>
      </w:r>
      <w:r>
        <w:rPr>
          <w:rFonts w:hint="eastAsia" w:ascii="Times New Roman" w:hAnsi="Times New Roman" w:eastAsia="仿宋_GB2312" w:cs="Times New Roman"/>
          <w:sz w:val="28"/>
          <w:lang w:eastAsia="zh-CN"/>
        </w:rPr>
        <w:t>.中央-中央支持地方公共文化服务体系建设补助资金（开展文化活动）绩效</w:t>
      </w:r>
      <w:r>
        <w:rPr>
          <w:rFonts w:ascii="Times New Roman" w:hAnsi="Times New Roman" w:eastAsia="仿宋_GB2312" w:cs="Times New Roman"/>
          <w:sz w:val="28"/>
        </w:rPr>
        <w:t>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97"/>
        <w:gridCol w:w="2568"/>
        <w:gridCol w:w="3144"/>
        <w:gridCol w:w="1644"/>
        <w:gridCol w:w="2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方正书宋_GBK" w:cs="Times New Roman"/>
                <w:b/>
                <w:lang w:eastAsia="zh-CN"/>
              </w:rPr>
            </w:pPr>
            <w:r>
              <w:rPr>
                <w:rFonts w:ascii="方正书宋_GBK" w:hAnsi="方正书宋_GBK" w:eastAsia="方正书宋_GBK" w:cs="方正书宋_GBK"/>
                <w:b w:val="0"/>
                <w:kern w:val="0"/>
                <w:sz w:val="15"/>
                <w:szCs w:val="15"/>
                <w:lang w:val="en-US" w:eastAsia="uk-UA" w:bidi="ar-SA"/>
              </w:rPr>
              <w:t>通过补助资金的发放，保障广大群众进行文化鉴赏，开展文化活动等基本文化权益。通过补助资金的发放，开展文化活动等基本文化权益。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5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补助资金补助的文化活动场次</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反映补助资金补助的文化活动场次</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≤10场</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举办的文化活动资源合格率</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反映举办的文化活动资源合格率</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100百分比</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补助资金补助的文化活动举办及时性</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反映补助资金补助文化活动开展的时间</w:t>
            </w:r>
            <w:r>
              <w:rPr>
                <w:rFonts w:hint="eastAsia" w:ascii="Times New Roman" w:hAnsi="Times New Roman" w:eastAsia="仿宋_GB2312" w:cs="Times New Roman"/>
                <w:lang w:eastAsia="zh-CN"/>
              </w:rPr>
              <w:t>性</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按时开展</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平均每月举办文化活动所需成本</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平均每月举办文化活动所需成本</w:t>
            </w:r>
          </w:p>
          <w:p>
            <w:pPr>
              <w:spacing w:line="300" w:lineRule="exact"/>
              <w:jc w:val="center"/>
              <w:rPr>
                <w:rFonts w:hint="eastAsia" w:ascii="Times New Roman" w:hAnsi="Times New Roman" w:eastAsia="仿宋_GB2312" w:cs="Times New Roman"/>
                <w:lang w:eastAsia="zh-CN"/>
              </w:rPr>
            </w:pP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≤24万元</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促进群众文化生活稳步提升</w:t>
            </w:r>
          </w:p>
          <w:p>
            <w:pPr>
              <w:spacing w:line="300" w:lineRule="exact"/>
              <w:jc w:val="center"/>
              <w:rPr>
                <w:rFonts w:hint="eastAsia" w:ascii="Times New Roman" w:hAnsi="Times New Roman" w:eastAsia="仿宋_GB2312" w:cs="Times New Roman"/>
                <w:lang w:eastAsia="zh-CN"/>
              </w:rPr>
            </w:pP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反映促进群众文化生活稳步提升情况</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稳步提升</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服务对象满意度指标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受益群众满意度</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反映受益群众满意度</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≥90百分比</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w:t>
      </w:r>
      <w:r>
        <w:rPr>
          <w:rFonts w:hint="eastAsia" w:ascii="Times New Roman" w:hAnsi="Times New Roman" w:eastAsia="仿宋_GB2312" w:cs="Times New Roman"/>
          <w:sz w:val="28"/>
          <w:lang w:eastAsia="zh-CN"/>
        </w:rPr>
        <w:t>.中央-中央支持地方公共文化服务体系建设补助资金（农村电影放映）绩效</w:t>
      </w:r>
      <w:r>
        <w:rPr>
          <w:rFonts w:ascii="Times New Roman" w:hAnsi="Times New Roman" w:eastAsia="仿宋_GB2312" w:cs="Times New Roman"/>
          <w:sz w:val="28"/>
        </w:rPr>
        <w:t>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97"/>
        <w:gridCol w:w="2568"/>
        <w:gridCol w:w="3144"/>
        <w:gridCol w:w="1644"/>
        <w:gridCol w:w="2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Times New Roman" w:hAnsi="Times New Roman" w:eastAsia="方正书宋_GBK" w:cs="Times New Roman"/>
                <w:b/>
                <w:lang w:eastAsia="zh-CN"/>
              </w:rPr>
            </w:pPr>
            <w:r>
              <w:rPr>
                <w:rFonts w:ascii="方正书宋_GBK" w:hAnsi="方正书宋_GBK" w:eastAsia="方正书宋_GBK" w:cs="方正书宋_GBK"/>
                <w:b w:val="0"/>
                <w:kern w:val="0"/>
                <w:sz w:val="15"/>
                <w:szCs w:val="15"/>
                <w:lang w:val="en-US" w:eastAsia="uk-UA" w:bidi="ar-SA"/>
              </w:rPr>
              <w:t>通过补助资金的及时发放，保障农村公益电影放映工作的正常开展。通过补助资金的及时发放，保障群众享受电影放映公益权益。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25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补助农村公益电影放映场次</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反映补助资金补助的农村公益电影放映场次</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4740场</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补助资金发放合格率</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反映补助资金发放的合格率</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100百分比</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时效指标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补助资金到位及时性</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反映补助资金到位及时性</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及时</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每场电影放映补助资金</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反映平均每场电影放映补助资金</w:t>
            </w: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≤100元</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促进农村公益电影放映稳步发展</w:t>
            </w:r>
          </w:p>
          <w:p>
            <w:pPr>
              <w:spacing w:line="300" w:lineRule="exact"/>
              <w:jc w:val="center"/>
              <w:rPr>
                <w:rFonts w:hint="eastAsia" w:ascii="Times New Roman" w:hAnsi="Times New Roman" w:eastAsia="仿宋_GB2312" w:cs="Times New Roman"/>
                <w:lang w:eastAsia="zh-CN"/>
              </w:rPr>
            </w:pP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促进农村公益电影放映稳步发展</w:t>
            </w:r>
          </w:p>
          <w:p>
            <w:pPr>
              <w:spacing w:line="300" w:lineRule="exact"/>
              <w:jc w:val="center"/>
              <w:rPr>
                <w:rFonts w:hint="eastAsia" w:ascii="Times New Roman" w:hAnsi="Times New Roman" w:eastAsia="仿宋_GB2312" w:cs="Times New Roman"/>
                <w:lang w:eastAsia="zh-CN"/>
              </w:rPr>
            </w:pP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稳步发展</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97"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服务对象满意度指标</w:t>
            </w:r>
          </w:p>
        </w:tc>
        <w:tc>
          <w:tcPr>
            <w:tcW w:w="2568" w:type="dxa"/>
            <w:shd w:val="clear" w:color="auto" w:fill="auto"/>
            <w:vAlign w:val="bottom"/>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受益群众满意度</w:t>
            </w:r>
          </w:p>
          <w:p>
            <w:pPr>
              <w:spacing w:line="300" w:lineRule="exact"/>
              <w:jc w:val="center"/>
              <w:rPr>
                <w:rFonts w:hint="eastAsia" w:ascii="Times New Roman" w:hAnsi="Times New Roman" w:eastAsia="仿宋_GB2312" w:cs="Times New Roman"/>
                <w:lang w:eastAsia="zh-CN"/>
              </w:rPr>
            </w:pPr>
          </w:p>
        </w:tc>
        <w:tc>
          <w:tcPr>
            <w:tcW w:w="314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受益群众满意度</w:t>
            </w:r>
          </w:p>
          <w:p>
            <w:pPr>
              <w:spacing w:line="300" w:lineRule="exact"/>
              <w:jc w:val="center"/>
              <w:rPr>
                <w:rFonts w:hint="eastAsia" w:ascii="Times New Roman" w:hAnsi="Times New Roman" w:eastAsia="仿宋_GB2312" w:cs="Times New Roman"/>
                <w:lang w:eastAsia="zh-CN"/>
              </w:rPr>
            </w:pPr>
          </w:p>
        </w:tc>
        <w:tc>
          <w:tcPr>
            <w:tcW w:w="1644"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≥90百分比</w:t>
            </w:r>
          </w:p>
        </w:tc>
        <w:tc>
          <w:tcPr>
            <w:tcW w:w="280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ascii="Times New Roman" w:hAnsi="Times New Roman" w:eastAsia="仿宋_GB2312" w:cs="Times New Roman"/>
              </w:rPr>
              <w:t>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outlineLvl w:val="1"/>
        <w:rPr>
          <w:rFonts w:ascii="方正小标宋_GBK" w:eastAsia="方正小标宋_GBK" w:cs="Times New Roman"/>
          <w:sz w:val="32"/>
        </w:rPr>
      </w:pPr>
      <w:r>
        <w:rPr>
          <w:rFonts w:hint="eastAsia"/>
          <w:lang w:eastAsia="zh-CN"/>
        </w:rPr>
        <w:t>三河</w:t>
      </w:r>
      <w:r>
        <w:t>市</w:t>
      </w:r>
      <w:r>
        <w:rPr>
          <w:rFonts w:hint="eastAsia"/>
          <w:lang w:eastAsia="zh-CN"/>
        </w:rPr>
        <w:t>文化广电和旅游局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rPr>
                <w:rFonts w:hint="eastAsia" w:eastAsia="方正书宋_GBK"/>
                <w:lang w:val="en-US" w:eastAsia="zh-CN"/>
              </w:rPr>
            </w:pPr>
            <w:r>
              <w:rPr>
                <w:rFonts w:hint="eastAsia"/>
                <w:lang w:val="en-US" w:eastAsia="zh-CN"/>
              </w:rPr>
              <w:t>0</w:t>
            </w: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文化广电和旅游局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5486.91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文化广电和旅游局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5486.91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3275.03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kern w:val="0"/>
                <w:sz w:val="22"/>
                <w:lang w:val="en-US" w:eastAsia="zh-CN"/>
              </w:rPr>
              <w:t>2211.88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rsids>
    <w:rsidRoot w:val="00D347CC"/>
    <w:rsid w:val="000230E6"/>
    <w:rsid w:val="000E5891"/>
    <w:rsid w:val="0025632D"/>
    <w:rsid w:val="004A54AA"/>
    <w:rsid w:val="005A2FBD"/>
    <w:rsid w:val="00875CF4"/>
    <w:rsid w:val="00944233"/>
    <w:rsid w:val="00B40732"/>
    <w:rsid w:val="00B80935"/>
    <w:rsid w:val="00D347CC"/>
    <w:rsid w:val="17911818"/>
    <w:rsid w:val="1A811E86"/>
    <w:rsid w:val="1E0D0BCE"/>
    <w:rsid w:val="24C904FA"/>
    <w:rsid w:val="26342C28"/>
    <w:rsid w:val="26BC0611"/>
    <w:rsid w:val="2B116D24"/>
    <w:rsid w:val="2BE0550F"/>
    <w:rsid w:val="2D4259EB"/>
    <w:rsid w:val="33EF129B"/>
    <w:rsid w:val="354C678F"/>
    <w:rsid w:val="355B2B39"/>
    <w:rsid w:val="3B4665B0"/>
    <w:rsid w:val="3C526ABC"/>
    <w:rsid w:val="46EC5EEC"/>
    <w:rsid w:val="4CCC3D4E"/>
    <w:rsid w:val="539E6026"/>
    <w:rsid w:val="56983779"/>
    <w:rsid w:val="588A1162"/>
    <w:rsid w:val="5F2B73A1"/>
    <w:rsid w:val="60C72C73"/>
    <w:rsid w:val="60F927E9"/>
    <w:rsid w:val="61981C48"/>
    <w:rsid w:val="66253BFA"/>
    <w:rsid w:val="69646E07"/>
    <w:rsid w:val="727D1870"/>
    <w:rsid w:val="7ADB680C"/>
    <w:rsid w:val="7CB201F8"/>
    <w:rsid w:val="7D8530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before="0" w:beforeLines="0" w:after="0" w:afterLines="0" w:line="500" w:lineRule="exact"/>
      <w:ind w:firstLine="560"/>
      <w:jc w:val="left"/>
      <w:outlineLvl w:val="9"/>
    </w:pPr>
    <w:rPr>
      <w:sz w:val="28"/>
    </w:rPr>
  </w:style>
  <w:style w:type="paragraph" w:customStyle="1" w:styleId="20">
    <w:name w:val="插入文本样式-插入职责分类绩效目标文件"/>
    <w:basedOn w:val="1"/>
    <w:qFormat/>
    <w:uiPriority w:val="0"/>
    <w:pPr>
      <w:spacing w:before="0" w:beforeLines="0" w:after="0" w:afterLines="0" w:line="500" w:lineRule="exact"/>
      <w:ind w:firstLine="560"/>
      <w:jc w:val="left"/>
      <w:outlineLvl w:val="9"/>
    </w:pPr>
    <w:rPr>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503</Words>
  <Characters>2873</Characters>
  <Lines>23</Lines>
  <Paragraphs>6</Paragraphs>
  <TotalTime>48</TotalTime>
  <ScaleCrop>false</ScaleCrop>
  <LinksUpToDate>false</LinksUpToDate>
  <CharactersWithSpaces>3370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Misss~R</cp:lastModifiedBy>
  <cp:lastPrinted>2018-01-30T06:12:00Z</cp:lastPrinted>
  <dcterms:modified xsi:type="dcterms:W3CDTF">2022-03-03T01:45:10Z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4E44EDF0EF9F46F78136DEDCDFA20100</vt:lpwstr>
  </property>
</Properties>
</file>